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3643" w14:textId="77777777" w:rsidR="00887E1E" w:rsidRDefault="00887E1E" w:rsidP="00746C46">
      <w:pPr>
        <w:pStyle w:val="datumtevilka"/>
        <w:spacing w:line="260" w:lineRule="exact"/>
        <w:jc w:val="center"/>
      </w:pPr>
    </w:p>
    <w:p w14:paraId="4E7C7524" w14:textId="77777777" w:rsidR="001D099A" w:rsidRDefault="001D099A" w:rsidP="00746C46">
      <w:pPr>
        <w:pStyle w:val="datumtevilka"/>
        <w:spacing w:line="260" w:lineRule="exact"/>
        <w:jc w:val="center"/>
      </w:pPr>
    </w:p>
    <w:p w14:paraId="17A6C6E3" w14:textId="77777777" w:rsidR="001D099A" w:rsidRDefault="001D099A" w:rsidP="00746C46">
      <w:pPr>
        <w:pStyle w:val="datumtevilka"/>
        <w:spacing w:line="260" w:lineRule="exact"/>
        <w:jc w:val="center"/>
      </w:pPr>
    </w:p>
    <w:p w14:paraId="7428C003" w14:textId="77777777" w:rsidR="00887E1E" w:rsidRDefault="00887E1E" w:rsidP="00746C46">
      <w:pPr>
        <w:pStyle w:val="datumtevilka"/>
        <w:spacing w:line="260" w:lineRule="exact"/>
        <w:jc w:val="center"/>
      </w:pPr>
    </w:p>
    <w:p w14:paraId="5A5B3337" w14:textId="77777777" w:rsidR="00F825FF" w:rsidRDefault="00F825FF" w:rsidP="00746C46">
      <w:pPr>
        <w:pStyle w:val="datumtevilka"/>
        <w:spacing w:line="260" w:lineRule="exact"/>
        <w:jc w:val="center"/>
      </w:pPr>
    </w:p>
    <w:p w14:paraId="77C8B632" w14:textId="77777777" w:rsidR="00F825FF" w:rsidRDefault="00F825FF" w:rsidP="00746C46">
      <w:pPr>
        <w:pStyle w:val="datumtevilka"/>
        <w:spacing w:line="260" w:lineRule="exact"/>
        <w:jc w:val="center"/>
      </w:pPr>
    </w:p>
    <w:p w14:paraId="6A02879C" w14:textId="77777777" w:rsidR="00F825FF" w:rsidRDefault="00F825FF" w:rsidP="00746C46">
      <w:pPr>
        <w:pStyle w:val="datumtevilka"/>
        <w:spacing w:line="260" w:lineRule="exact"/>
        <w:jc w:val="center"/>
      </w:pPr>
    </w:p>
    <w:p w14:paraId="7E1957CA" w14:textId="77777777" w:rsidR="00F825FF" w:rsidRDefault="00F825FF" w:rsidP="00746C46">
      <w:pPr>
        <w:pStyle w:val="datumtevilka"/>
        <w:spacing w:line="260" w:lineRule="exact"/>
        <w:jc w:val="center"/>
      </w:pPr>
    </w:p>
    <w:p w14:paraId="2D49E4B5" w14:textId="77777777" w:rsidR="00887E1E" w:rsidRDefault="00887E1E" w:rsidP="00746C46">
      <w:pPr>
        <w:pStyle w:val="datumtevilka"/>
        <w:spacing w:line="260" w:lineRule="exact"/>
        <w:jc w:val="center"/>
      </w:pPr>
    </w:p>
    <w:p w14:paraId="06D7C534" w14:textId="77777777" w:rsidR="00887E1E" w:rsidRDefault="00887E1E" w:rsidP="00746C46">
      <w:pPr>
        <w:pStyle w:val="datumtevilka"/>
        <w:spacing w:line="260" w:lineRule="exact"/>
        <w:jc w:val="center"/>
      </w:pPr>
    </w:p>
    <w:p w14:paraId="1EB52061" w14:textId="26BFD783" w:rsidR="00887E1E" w:rsidRPr="007650D6" w:rsidRDefault="00E15B6A" w:rsidP="007650D6">
      <w:pPr>
        <w:pStyle w:val="datumtevilka"/>
        <w:jc w:val="center"/>
        <w:rPr>
          <w:b/>
          <w:bCs/>
          <w:sz w:val="32"/>
          <w:szCs w:val="32"/>
        </w:rPr>
      </w:pPr>
      <w:r w:rsidRPr="007650D6">
        <w:rPr>
          <w:b/>
          <w:bCs/>
          <w:sz w:val="32"/>
          <w:szCs w:val="32"/>
        </w:rPr>
        <w:t>U</w:t>
      </w:r>
      <w:r w:rsidR="00DE36C9" w:rsidRPr="007650D6">
        <w:rPr>
          <w:b/>
          <w:bCs/>
          <w:sz w:val="32"/>
          <w:szCs w:val="32"/>
        </w:rPr>
        <w:t>VOZNI POSTOPKI</w:t>
      </w:r>
    </w:p>
    <w:p w14:paraId="25A7DD77" w14:textId="77777777" w:rsidR="00E853E8" w:rsidRPr="00E853E8" w:rsidRDefault="00E853E8" w:rsidP="00746C46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33E7E8DC" w14:textId="77777777" w:rsidR="00887E1E" w:rsidRDefault="00887E1E" w:rsidP="00746C46">
      <w:pPr>
        <w:pStyle w:val="datumtevilka"/>
        <w:spacing w:line="260" w:lineRule="exact"/>
        <w:jc w:val="center"/>
      </w:pPr>
    </w:p>
    <w:p w14:paraId="62DD1676" w14:textId="77777777" w:rsidR="00E853E8" w:rsidRDefault="00E853E8" w:rsidP="00746C46">
      <w:pPr>
        <w:pStyle w:val="datumtevilka"/>
        <w:spacing w:line="260" w:lineRule="exact"/>
        <w:jc w:val="center"/>
      </w:pPr>
    </w:p>
    <w:p w14:paraId="56B3A533" w14:textId="77777777" w:rsidR="00E853E8" w:rsidRDefault="00E853E8" w:rsidP="00746C46">
      <w:pPr>
        <w:pStyle w:val="datumtevilka"/>
        <w:spacing w:line="260" w:lineRule="exact"/>
        <w:jc w:val="center"/>
      </w:pPr>
    </w:p>
    <w:p w14:paraId="44D58ACA" w14:textId="77777777" w:rsidR="00E853E8" w:rsidRDefault="00E853E8" w:rsidP="00746C46">
      <w:pPr>
        <w:pStyle w:val="datumtevilka"/>
        <w:spacing w:line="260" w:lineRule="exact"/>
        <w:jc w:val="center"/>
      </w:pPr>
    </w:p>
    <w:p w14:paraId="4F3A4B7D" w14:textId="77777777" w:rsidR="00E853E8" w:rsidRDefault="00E853E8" w:rsidP="00746C46">
      <w:pPr>
        <w:pStyle w:val="datumtevilka"/>
        <w:spacing w:line="260" w:lineRule="exact"/>
        <w:jc w:val="center"/>
      </w:pPr>
    </w:p>
    <w:p w14:paraId="0A6EC7AA" w14:textId="77777777" w:rsidR="00E853E8" w:rsidRDefault="00E853E8" w:rsidP="00746C46">
      <w:pPr>
        <w:pStyle w:val="datumtevilka"/>
        <w:spacing w:line="260" w:lineRule="exact"/>
        <w:jc w:val="center"/>
      </w:pPr>
    </w:p>
    <w:p w14:paraId="56EE82A6" w14:textId="77777777" w:rsidR="00887E1E" w:rsidRDefault="00887E1E" w:rsidP="00746C46">
      <w:pPr>
        <w:pStyle w:val="datumtevilka"/>
        <w:spacing w:line="260" w:lineRule="exact"/>
        <w:jc w:val="center"/>
      </w:pPr>
    </w:p>
    <w:p w14:paraId="1716F57F" w14:textId="77777777" w:rsidR="00F825FF" w:rsidRPr="00E853E8" w:rsidRDefault="00E853E8" w:rsidP="00746C46">
      <w:pPr>
        <w:pStyle w:val="datumtevilka"/>
        <w:spacing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</w:t>
      </w:r>
      <w:r w:rsidR="001C2D67">
        <w:rPr>
          <w:b/>
          <w:sz w:val="28"/>
          <w:szCs w:val="28"/>
        </w:rPr>
        <w:t>drobnejši opis</w:t>
      </w:r>
      <w:r w:rsidR="00593460">
        <w:rPr>
          <w:b/>
          <w:sz w:val="28"/>
          <w:szCs w:val="28"/>
        </w:rPr>
        <w:t xml:space="preserve"> </w:t>
      </w:r>
    </w:p>
    <w:p w14:paraId="66D4BEC9" w14:textId="77777777" w:rsidR="00F825FF" w:rsidRDefault="00F825FF" w:rsidP="00746C46">
      <w:pPr>
        <w:pStyle w:val="datumtevilka"/>
        <w:spacing w:line="260" w:lineRule="exact"/>
        <w:jc w:val="center"/>
      </w:pPr>
    </w:p>
    <w:p w14:paraId="0AA800F6" w14:textId="77777777" w:rsidR="00F825FF" w:rsidRDefault="00F825FF" w:rsidP="00746C46">
      <w:pPr>
        <w:pStyle w:val="datumtevilka"/>
        <w:spacing w:line="260" w:lineRule="exact"/>
        <w:jc w:val="center"/>
      </w:pPr>
    </w:p>
    <w:p w14:paraId="6A398BF8" w14:textId="77777777" w:rsidR="00F825FF" w:rsidRDefault="00F825FF" w:rsidP="00746C46">
      <w:pPr>
        <w:pStyle w:val="datumtevilka"/>
        <w:spacing w:line="260" w:lineRule="exact"/>
        <w:jc w:val="center"/>
      </w:pPr>
    </w:p>
    <w:p w14:paraId="3CBBA88C" w14:textId="77777777" w:rsidR="00F825FF" w:rsidRDefault="00F825FF" w:rsidP="00746C46">
      <w:pPr>
        <w:pStyle w:val="datumtevilka"/>
        <w:spacing w:line="260" w:lineRule="exact"/>
        <w:jc w:val="center"/>
      </w:pPr>
    </w:p>
    <w:p w14:paraId="063DDB94" w14:textId="77777777" w:rsidR="00F825FF" w:rsidRDefault="00F825FF" w:rsidP="00746C46">
      <w:pPr>
        <w:pStyle w:val="datumtevilka"/>
        <w:spacing w:line="260" w:lineRule="exact"/>
        <w:jc w:val="center"/>
      </w:pPr>
    </w:p>
    <w:p w14:paraId="0E1D72A4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1AC3C80F" w14:textId="77777777" w:rsidR="00F825FF" w:rsidRDefault="00F825FF" w:rsidP="00746C46">
      <w:pPr>
        <w:pStyle w:val="podpisi"/>
        <w:spacing w:line="260" w:lineRule="exact"/>
        <w:jc w:val="center"/>
        <w:rPr>
          <w:lang w:val="sl-SI"/>
        </w:rPr>
      </w:pPr>
    </w:p>
    <w:p w14:paraId="63DEB00E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7114E34C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4960CF1F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21F6C37C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12B6431E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75398BEB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3BB9B526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5E675988" w14:textId="77777777" w:rsidR="00E853E8" w:rsidRDefault="00E853E8" w:rsidP="00746C46">
      <w:pPr>
        <w:pStyle w:val="podpisi"/>
        <w:spacing w:line="260" w:lineRule="exact"/>
        <w:jc w:val="center"/>
        <w:rPr>
          <w:lang w:val="sl-SI"/>
        </w:rPr>
      </w:pPr>
    </w:p>
    <w:p w14:paraId="3DE2915F" w14:textId="77777777" w:rsidR="00E853E8" w:rsidRDefault="00E853E8" w:rsidP="00746C46">
      <w:pPr>
        <w:pStyle w:val="podpisi"/>
        <w:spacing w:line="260" w:lineRule="exact"/>
        <w:jc w:val="center"/>
        <w:rPr>
          <w:lang w:val="sl-SI"/>
        </w:rPr>
      </w:pPr>
    </w:p>
    <w:p w14:paraId="37EFB09F" w14:textId="77777777" w:rsidR="00E853E8" w:rsidRDefault="00E853E8" w:rsidP="00746C46">
      <w:pPr>
        <w:pStyle w:val="podpisi"/>
        <w:spacing w:line="260" w:lineRule="exact"/>
        <w:jc w:val="center"/>
        <w:rPr>
          <w:lang w:val="sl-SI"/>
        </w:rPr>
      </w:pPr>
    </w:p>
    <w:p w14:paraId="015785B4" w14:textId="77777777" w:rsidR="00E853E8" w:rsidRDefault="00E853E8" w:rsidP="00746C46">
      <w:pPr>
        <w:pStyle w:val="podpisi"/>
        <w:spacing w:line="260" w:lineRule="exact"/>
        <w:jc w:val="center"/>
        <w:rPr>
          <w:lang w:val="sl-SI"/>
        </w:rPr>
      </w:pPr>
    </w:p>
    <w:p w14:paraId="15B0F7E0" w14:textId="77777777" w:rsidR="00E853E8" w:rsidRDefault="00E853E8" w:rsidP="00746C46">
      <w:pPr>
        <w:pStyle w:val="podpisi"/>
        <w:spacing w:line="260" w:lineRule="exact"/>
        <w:jc w:val="center"/>
        <w:rPr>
          <w:lang w:val="sl-SI"/>
        </w:rPr>
      </w:pPr>
    </w:p>
    <w:p w14:paraId="412209AB" w14:textId="77777777" w:rsidR="00E853E8" w:rsidRDefault="00E853E8" w:rsidP="00746C46">
      <w:pPr>
        <w:pStyle w:val="podpisi"/>
        <w:spacing w:line="260" w:lineRule="exact"/>
        <w:jc w:val="center"/>
        <w:rPr>
          <w:lang w:val="sl-SI"/>
        </w:rPr>
      </w:pPr>
    </w:p>
    <w:p w14:paraId="51D9BA6D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28D1CCE7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13AE8393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28FA6716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295171D0" w14:textId="77777777" w:rsidR="00887E1E" w:rsidRDefault="00887E1E" w:rsidP="00746C46">
      <w:pPr>
        <w:pStyle w:val="podpisi"/>
        <w:spacing w:line="260" w:lineRule="exact"/>
        <w:jc w:val="center"/>
        <w:rPr>
          <w:lang w:val="sl-SI"/>
        </w:rPr>
      </w:pPr>
    </w:p>
    <w:p w14:paraId="34880298" w14:textId="5B894191" w:rsidR="00CA699D" w:rsidRDefault="00073E25" w:rsidP="00746C46">
      <w:pPr>
        <w:pStyle w:val="podpisi"/>
        <w:spacing w:line="260" w:lineRule="exact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 xml:space="preserve">2. izdaja, maj 2025 </w:t>
      </w:r>
    </w:p>
    <w:p w14:paraId="60D84660" w14:textId="77777777" w:rsidR="00DA2C9A" w:rsidRPr="00982D31" w:rsidRDefault="00CA699D" w:rsidP="00982D31">
      <w:pPr>
        <w:pStyle w:val="datumtevilka"/>
        <w:rPr>
          <w:b/>
          <w:bCs/>
          <w:sz w:val="24"/>
          <w:szCs w:val="24"/>
        </w:rPr>
      </w:pPr>
      <w:r w:rsidRPr="00746C46">
        <w:rPr>
          <w:sz w:val="28"/>
        </w:rPr>
        <w:br w:type="page"/>
      </w:r>
      <w:r w:rsidR="00DA2C9A" w:rsidRPr="00982D31">
        <w:rPr>
          <w:b/>
          <w:bCs/>
          <w:sz w:val="24"/>
          <w:szCs w:val="24"/>
        </w:rPr>
        <w:lastRenderedPageBreak/>
        <w:t>K</w:t>
      </w:r>
      <w:r w:rsidR="000C203D" w:rsidRPr="00982D31">
        <w:rPr>
          <w:b/>
          <w:bCs/>
          <w:sz w:val="24"/>
          <w:szCs w:val="24"/>
        </w:rPr>
        <w:t>AZALO</w:t>
      </w:r>
    </w:p>
    <w:p w14:paraId="6410C3D0" w14:textId="77777777" w:rsidR="00DA2C9A" w:rsidRPr="00982D31" w:rsidRDefault="00DA2C9A" w:rsidP="00746C46">
      <w:pPr>
        <w:spacing w:line="260" w:lineRule="exact"/>
        <w:rPr>
          <w:b/>
          <w:sz w:val="24"/>
          <w:lang w:val="sl-SI"/>
        </w:rPr>
      </w:pPr>
    </w:p>
    <w:p w14:paraId="7F77F039" w14:textId="3FF62C22" w:rsidR="00982D31" w:rsidRDefault="00F079C5">
      <w:pPr>
        <w:pStyle w:val="Kazalovsebine2"/>
        <w:rPr>
          <w:rFonts w:asciiTheme="minorHAnsi" w:eastAsiaTheme="minorEastAsia" w:hAnsiTheme="minorHAnsi" w:cstheme="minorBidi"/>
          <w:noProof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TOC \h \z \t "FURS_naslov_1;1;FURS_naslov_2;2" </w:instrText>
      </w:r>
      <w:r>
        <w:rPr>
          <w:b/>
          <w:sz w:val="28"/>
        </w:rPr>
        <w:fldChar w:fldCharType="separate"/>
      </w:r>
      <w:hyperlink w:anchor="_Toc127349315" w:history="1">
        <w:r w:rsidR="00982D31" w:rsidRPr="00ED1AA3">
          <w:rPr>
            <w:rStyle w:val="Hiperpovezava"/>
            <w:rFonts w:cs="Arial"/>
            <w:noProof/>
          </w:rPr>
          <w:t>1.1  Sprostitev v prost promet</w:t>
        </w:r>
        <w:r w:rsidR="00982D31">
          <w:rPr>
            <w:noProof/>
            <w:webHidden/>
          </w:rPr>
          <w:tab/>
        </w:r>
        <w:r w:rsidR="00982D31">
          <w:rPr>
            <w:noProof/>
            <w:webHidden/>
          </w:rPr>
          <w:fldChar w:fldCharType="begin"/>
        </w:r>
        <w:r w:rsidR="00982D31">
          <w:rPr>
            <w:noProof/>
            <w:webHidden/>
          </w:rPr>
          <w:instrText xml:space="preserve"> PAGEREF _Toc127349315 \h </w:instrText>
        </w:r>
        <w:r w:rsidR="00982D31">
          <w:rPr>
            <w:noProof/>
            <w:webHidden/>
          </w:rPr>
        </w:r>
        <w:r w:rsidR="00982D31">
          <w:rPr>
            <w:noProof/>
            <w:webHidden/>
          </w:rPr>
          <w:fldChar w:fldCharType="separate"/>
        </w:r>
        <w:r w:rsidR="00982D31">
          <w:rPr>
            <w:noProof/>
            <w:webHidden/>
          </w:rPr>
          <w:t>3</w:t>
        </w:r>
        <w:r w:rsidR="00982D31">
          <w:rPr>
            <w:noProof/>
            <w:webHidden/>
          </w:rPr>
          <w:fldChar w:fldCharType="end"/>
        </w:r>
      </w:hyperlink>
    </w:p>
    <w:p w14:paraId="3747C866" w14:textId="65786403" w:rsidR="00982D31" w:rsidRDefault="00000000">
      <w:pPr>
        <w:pStyle w:val="Kazalovsebine2"/>
        <w:rPr>
          <w:rFonts w:asciiTheme="minorHAnsi" w:eastAsiaTheme="minorEastAsia" w:hAnsiTheme="minorHAnsi" w:cstheme="minorBidi"/>
          <w:noProof/>
        </w:rPr>
      </w:pPr>
      <w:hyperlink w:anchor="_Toc127349316" w:history="1">
        <w:r w:rsidR="00982D31" w:rsidRPr="00ED1AA3">
          <w:rPr>
            <w:rStyle w:val="Hiperpovezava"/>
            <w:rFonts w:cs="Arial"/>
            <w:noProof/>
          </w:rPr>
          <w:t>1.2  Sprostitev v prost promet za posebno rabo (</w:t>
        </w:r>
        <w:r w:rsidR="00982D31" w:rsidRPr="00ED1AA3">
          <w:rPr>
            <w:rStyle w:val="Hiperpovezava"/>
            <w:rFonts w:cs="Arial"/>
            <w:i/>
            <w:noProof/>
            <w:lang w:val="en-GB"/>
          </w:rPr>
          <w:t>end-use</w:t>
        </w:r>
        <w:r w:rsidR="00982D31" w:rsidRPr="00ED1AA3">
          <w:rPr>
            <w:rStyle w:val="Hiperpovezava"/>
            <w:rFonts w:cs="Arial"/>
            <w:noProof/>
            <w:lang w:val="en-GB"/>
          </w:rPr>
          <w:t>)</w:t>
        </w:r>
        <w:r w:rsidR="00982D31">
          <w:rPr>
            <w:noProof/>
            <w:webHidden/>
          </w:rPr>
          <w:tab/>
        </w:r>
        <w:r w:rsidR="00982D31">
          <w:rPr>
            <w:noProof/>
            <w:webHidden/>
          </w:rPr>
          <w:fldChar w:fldCharType="begin"/>
        </w:r>
        <w:r w:rsidR="00982D31">
          <w:rPr>
            <w:noProof/>
            <w:webHidden/>
          </w:rPr>
          <w:instrText xml:space="preserve"> PAGEREF _Toc127349316 \h </w:instrText>
        </w:r>
        <w:r w:rsidR="00982D31">
          <w:rPr>
            <w:noProof/>
            <w:webHidden/>
          </w:rPr>
        </w:r>
        <w:r w:rsidR="00982D31">
          <w:rPr>
            <w:noProof/>
            <w:webHidden/>
          </w:rPr>
          <w:fldChar w:fldCharType="separate"/>
        </w:r>
        <w:r w:rsidR="00982D31">
          <w:rPr>
            <w:noProof/>
            <w:webHidden/>
          </w:rPr>
          <w:t>4</w:t>
        </w:r>
        <w:r w:rsidR="00982D31">
          <w:rPr>
            <w:noProof/>
            <w:webHidden/>
          </w:rPr>
          <w:fldChar w:fldCharType="end"/>
        </w:r>
      </w:hyperlink>
    </w:p>
    <w:p w14:paraId="57DFB71D" w14:textId="563E1AC0" w:rsidR="00982D31" w:rsidRDefault="00000000">
      <w:pPr>
        <w:pStyle w:val="Kazalovsebine2"/>
        <w:rPr>
          <w:rFonts w:asciiTheme="minorHAnsi" w:eastAsiaTheme="minorEastAsia" w:hAnsiTheme="minorHAnsi" w:cstheme="minorBidi"/>
          <w:noProof/>
        </w:rPr>
      </w:pPr>
      <w:hyperlink w:anchor="_Toc127349317" w:history="1">
        <w:r w:rsidR="00982D31" w:rsidRPr="00ED1AA3">
          <w:rPr>
            <w:rStyle w:val="Hiperpovezava"/>
            <w:rFonts w:cs="Arial"/>
            <w:noProof/>
          </w:rPr>
          <w:t>1.3  Postopek 42</w:t>
        </w:r>
        <w:r w:rsidR="00982D31">
          <w:rPr>
            <w:noProof/>
            <w:webHidden/>
          </w:rPr>
          <w:tab/>
        </w:r>
        <w:r w:rsidR="00982D31">
          <w:rPr>
            <w:noProof/>
            <w:webHidden/>
          </w:rPr>
          <w:fldChar w:fldCharType="begin"/>
        </w:r>
        <w:r w:rsidR="00982D31">
          <w:rPr>
            <w:noProof/>
            <w:webHidden/>
          </w:rPr>
          <w:instrText xml:space="preserve"> PAGEREF _Toc127349317 \h </w:instrText>
        </w:r>
        <w:r w:rsidR="00982D31">
          <w:rPr>
            <w:noProof/>
            <w:webHidden/>
          </w:rPr>
        </w:r>
        <w:r w:rsidR="00982D31">
          <w:rPr>
            <w:noProof/>
            <w:webHidden/>
          </w:rPr>
          <w:fldChar w:fldCharType="separate"/>
        </w:r>
        <w:r w:rsidR="00982D31">
          <w:rPr>
            <w:noProof/>
            <w:webHidden/>
          </w:rPr>
          <w:t>4</w:t>
        </w:r>
        <w:r w:rsidR="00982D31">
          <w:rPr>
            <w:noProof/>
            <w:webHidden/>
          </w:rPr>
          <w:fldChar w:fldCharType="end"/>
        </w:r>
      </w:hyperlink>
    </w:p>
    <w:p w14:paraId="3C80A701" w14:textId="740673B4" w:rsidR="00982D31" w:rsidRDefault="00000000">
      <w:pPr>
        <w:pStyle w:val="Kazalovsebine2"/>
        <w:rPr>
          <w:rFonts w:asciiTheme="minorHAnsi" w:eastAsiaTheme="minorEastAsia" w:hAnsiTheme="minorHAnsi" w:cstheme="minorBidi"/>
          <w:noProof/>
        </w:rPr>
      </w:pPr>
      <w:hyperlink w:anchor="_Toc127349318" w:history="1">
        <w:r w:rsidR="00982D31" w:rsidRPr="00ED1AA3">
          <w:rPr>
            <w:rStyle w:val="Hiperpovezava"/>
            <w:noProof/>
          </w:rPr>
          <w:t>1.4  Aktivno oplemenitenje</w:t>
        </w:r>
        <w:r w:rsidR="00982D31">
          <w:rPr>
            <w:noProof/>
            <w:webHidden/>
          </w:rPr>
          <w:tab/>
        </w:r>
        <w:r w:rsidR="00982D31">
          <w:rPr>
            <w:noProof/>
            <w:webHidden/>
          </w:rPr>
          <w:fldChar w:fldCharType="begin"/>
        </w:r>
        <w:r w:rsidR="00982D31">
          <w:rPr>
            <w:noProof/>
            <w:webHidden/>
          </w:rPr>
          <w:instrText xml:space="preserve"> PAGEREF _Toc127349318 \h </w:instrText>
        </w:r>
        <w:r w:rsidR="00982D31">
          <w:rPr>
            <w:noProof/>
            <w:webHidden/>
          </w:rPr>
        </w:r>
        <w:r w:rsidR="00982D31">
          <w:rPr>
            <w:noProof/>
            <w:webHidden/>
          </w:rPr>
          <w:fldChar w:fldCharType="separate"/>
        </w:r>
        <w:r w:rsidR="00982D31">
          <w:rPr>
            <w:noProof/>
            <w:webHidden/>
          </w:rPr>
          <w:t>4</w:t>
        </w:r>
        <w:r w:rsidR="00982D31">
          <w:rPr>
            <w:noProof/>
            <w:webHidden/>
          </w:rPr>
          <w:fldChar w:fldCharType="end"/>
        </w:r>
      </w:hyperlink>
    </w:p>
    <w:p w14:paraId="2E93B88A" w14:textId="73AB37AA" w:rsidR="00982D31" w:rsidRDefault="00000000">
      <w:pPr>
        <w:pStyle w:val="Kazalovsebine2"/>
        <w:rPr>
          <w:rFonts w:asciiTheme="minorHAnsi" w:eastAsiaTheme="minorEastAsia" w:hAnsiTheme="minorHAnsi" w:cstheme="minorBidi"/>
          <w:noProof/>
        </w:rPr>
      </w:pPr>
      <w:hyperlink w:anchor="_Toc127349319" w:history="1">
        <w:r w:rsidR="00982D31" w:rsidRPr="00ED1AA3">
          <w:rPr>
            <w:rStyle w:val="Hiperpovezava"/>
            <w:noProof/>
          </w:rPr>
          <w:t>1.5  Carinsko skladiščenje</w:t>
        </w:r>
        <w:r w:rsidR="00982D31">
          <w:rPr>
            <w:noProof/>
            <w:webHidden/>
          </w:rPr>
          <w:tab/>
        </w:r>
        <w:r w:rsidR="00982D31">
          <w:rPr>
            <w:noProof/>
            <w:webHidden/>
          </w:rPr>
          <w:fldChar w:fldCharType="begin"/>
        </w:r>
        <w:r w:rsidR="00982D31">
          <w:rPr>
            <w:noProof/>
            <w:webHidden/>
          </w:rPr>
          <w:instrText xml:space="preserve"> PAGEREF _Toc127349319 \h </w:instrText>
        </w:r>
        <w:r w:rsidR="00982D31">
          <w:rPr>
            <w:noProof/>
            <w:webHidden/>
          </w:rPr>
        </w:r>
        <w:r w:rsidR="00982D31">
          <w:rPr>
            <w:noProof/>
            <w:webHidden/>
          </w:rPr>
          <w:fldChar w:fldCharType="separate"/>
        </w:r>
        <w:r w:rsidR="00982D31">
          <w:rPr>
            <w:noProof/>
            <w:webHidden/>
          </w:rPr>
          <w:t>5</w:t>
        </w:r>
        <w:r w:rsidR="00982D31">
          <w:rPr>
            <w:noProof/>
            <w:webHidden/>
          </w:rPr>
          <w:fldChar w:fldCharType="end"/>
        </w:r>
      </w:hyperlink>
    </w:p>
    <w:p w14:paraId="741B648A" w14:textId="35C0D43F" w:rsidR="00982D31" w:rsidRDefault="00000000">
      <w:pPr>
        <w:pStyle w:val="Kazalovsebine2"/>
        <w:rPr>
          <w:rFonts w:asciiTheme="minorHAnsi" w:eastAsiaTheme="minorEastAsia" w:hAnsiTheme="minorHAnsi" w:cstheme="minorBidi"/>
          <w:noProof/>
        </w:rPr>
      </w:pPr>
      <w:hyperlink w:anchor="_Toc127349320" w:history="1">
        <w:r w:rsidR="00982D31" w:rsidRPr="00ED1AA3">
          <w:rPr>
            <w:rStyle w:val="Hiperpovezava"/>
            <w:noProof/>
          </w:rPr>
          <w:t>1.6  Začasni uvoz</w:t>
        </w:r>
        <w:r w:rsidR="00982D31">
          <w:rPr>
            <w:noProof/>
            <w:webHidden/>
          </w:rPr>
          <w:tab/>
        </w:r>
        <w:r w:rsidR="00982D31">
          <w:rPr>
            <w:noProof/>
            <w:webHidden/>
          </w:rPr>
          <w:fldChar w:fldCharType="begin"/>
        </w:r>
        <w:r w:rsidR="00982D31">
          <w:rPr>
            <w:noProof/>
            <w:webHidden/>
          </w:rPr>
          <w:instrText xml:space="preserve"> PAGEREF _Toc127349320 \h </w:instrText>
        </w:r>
        <w:r w:rsidR="00982D31">
          <w:rPr>
            <w:noProof/>
            <w:webHidden/>
          </w:rPr>
        </w:r>
        <w:r w:rsidR="00982D31">
          <w:rPr>
            <w:noProof/>
            <w:webHidden/>
          </w:rPr>
          <w:fldChar w:fldCharType="separate"/>
        </w:r>
        <w:r w:rsidR="00982D31">
          <w:rPr>
            <w:noProof/>
            <w:webHidden/>
          </w:rPr>
          <w:t>5</w:t>
        </w:r>
        <w:r w:rsidR="00982D31">
          <w:rPr>
            <w:noProof/>
            <w:webHidden/>
          </w:rPr>
          <w:fldChar w:fldCharType="end"/>
        </w:r>
      </w:hyperlink>
    </w:p>
    <w:p w14:paraId="1B4C40F0" w14:textId="77777777" w:rsidR="008E7945" w:rsidRDefault="00F079C5" w:rsidP="00746C46">
      <w:pPr>
        <w:pStyle w:val="FURSnaslov1"/>
        <w:spacing w:line="260" w:lineRule="exact"/>
        <w:rPr>
          <w:sz w:val="28"/>
        </w:rPr>
      </w:pPr>
      <w:r>
        <w:rPr>
          <w:b w:val="0"/>
          <w:sz w:val="28"/>
          <w:lang w:val="en-US"/>
        </w:rPr>
        <w:fldChar w:fldCharType="end"/>
      </w:r>
    </w:p>
    <w:p w14:paraId="5763F71A" w14:textId="77777777" w:rsidR="008E7945" w:rsidRDefault="008E7945" w:rsidP="00746C46">
      <w:pPr>
        <w:pStyle w:val="FURSnaslov1"/>
        <w:spacing w:line="260" w:lineRule="exact"/>
        <w:rPr>
          <w:sz w:val="28"/>
        </w:rPr>
      </w:pPr>
    </w:p>
    <w:p w14:paraId="310B77F6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005F834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00FA295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12DCF0BE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410C6EDB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1505AC7D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15B70497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937CBC8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5C91709A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52999F95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6A8BF696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167FC212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3E44DD65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72EE2FA6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36A6E9D8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3C65C4BB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7391BCB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54EBF6C3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7B6683A2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6D4D42A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4DDC21E7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110D822C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4E479100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A927DA0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50EA27AF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42014622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45EC4CDC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154D6AD7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5608888E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06B903F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59898080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0B139082" w14:textId="4E3044C1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CCA771B" w14:textId="6E481C39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5F6FB99B" w14:textId="5C3055BC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4555F2C0" w14:textId="0D4E8758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18AAFB69" w14:textId="727BA6B6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0CB77D78" w14:textId="7655270D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3BC82259" w14:textId="07DA774B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631F2C3F" w14:textId="3DF148F9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6C895B5C" w14:textId="6C82CFA1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71645363" w14:textId="77777777" w:rsidR="004C6C06" w:rsidRDefault="004C6C06" w:rsidP="00746C46">
      <w:pPr>
        <w:pStyle w:val="FURSnaslov1"/>
        <w:spacing w:line="260" w:lineRule="exact"/>
        <w:rPr>
          <w:sz w:val="28"/>
        </w:rPr>
      </w:pPr>
    </w:p>
    <w:p w14:paraId="089B952F" w14:textId="77777777" w:rsidR="00B72445" w:rsidRDefault="00B72445" w:rsidP="00746C46">
      <w:pPr>
        <w:pStyle w:val="FURSnaslov1"/>
        <w:spacing w:line="260" w:lineRule="exact"/>
        <w:rPr>
          <w:sz w:val="28"/>
        </w:rPr>
      </w:pPr>
    </w:p>
    <w:p w14:paraId="2B460367" w14:textId="77777777" w:rsidR="00887E1E" w:rsidRPr="00776209" w:rsidRDefault="008E7945" w:rsidP="00746C46">
      <w:pPr>
        <w:pStyle w:val="FURSnaslov2"/>
        <w:spacing w:line="260" w:lineRule="exact"/>
        <w:rPr>
          <w:rFonts w:cs="Arial"/>
        </w:rPr>
      </w:pPr>
      <w:bookmarkStart w:id="0" w:name="_Toc127349315"/>
      <w:r w:rsidRPr="00776209">
        <w:rPr>
          <w:rFonts w:cs="Arial"/>
        </w:rPr>
        <w:lastRenderedPageBreak/>
        <w:t>1.1</w:t>
      </w:r>
      <w:r w:rsidR="00776209" w:rsidRPr="00776209">
        <w:rPr>
          <w:rFonts w:cs="Arial"/>
        </w:rPr>
        <w:t xml:space="preserve"> </w:t>
      </w:r>
      <w:r w:rsidR="000A488B" w:rsidRPr="00776209">
        <w:rPr>
          <w:rFonts w:cs="Arial"/>
        </w:rPr>
        <w:t xml:space="preserve"> </w:t>
      </w:r>
      <w:r w:rsidR="00245DB8" w:rsidRPr="00776209">
        <w:rPr>
          <w:rFonts w:cs="Arial"/>
        </w:rPr>
        <w:t>Sprostitev v prost promet</w:t>
      </w:r>
      <w:bookmarkEnd w:id="0"/>
    </w:p>
    <w:p w14:paraId="37FD51F2" w14:textId="77777777" w:rsidR="009A2B38" w:rsidRPr="00776209" w:rsidRDefault="009A2B38" w:rsidP="00746C46">
      <w:pPr>
        <w:pStyle w:val="FURSnaslov2"/>
        <w:spacing w:line="260" w:lineRule="exact"/>
        <w:rPr>
          <w:rFonts w:cs="Arial"/>
        </w:rPr>
      </w:pPr>
    </w:p>
    <w:p w14:paraId="0C3D8E5A" w14:textId="77777777" w:rsidR="00245DB8" w:rsidRPr="00776209" w:rsidRDefault="00245DB8" w:rsidP="00746C46">
      <w:p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Sprostitev v prost promet je carinski postopek, pri katerem carinsko blago pridobi status blaga </w:t>
      </w:r>
      <w:r w:rsidR="007E7F78">
        <w:rPr>
          <w:rFonts w:cs="Arial"/>
          <w:lang w:val="sl-SI"/>
        </w:rPr>
        <w:t>Unije</w:t>
      </w:r>
      <w:r w:rsidRPr="00776209">
        <w:rPr>
          <w:rFonts w:cs="Arial"/>
          <w:lang w:val="sl-SI"/>
        </w:rPr>
        <w:t xml:space="preserve">. Deklarant mora opraviti carinske formalnosti glede uvoza blaga in upoštevati ukrepe trgovinske politike ter ukrepe prepovedi in omejitev. </w:t>
      </w:r>
    </w:p>
    <w:p w14:paraId="308AD994" w14:textId="77777777" w:rsidR="00245DB8" w:rsidRPr="00776209" w:rsidRDefault="00245DB8" w:rsidP="00746C46">
      <w:p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 </w:t>
      </w:r>
    </w:p>
    <w:p w14:paraId="59C9D629" w14:textId="0FB58411" w:rsidR="00245DB8" w:rsidRPr="00776209" w:rsidRDefault="00245DB8" w:rsidP="00746C46">
      <w:p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Carinska deklaracija se vloži pri </w:t>
      </w:r>
      <w:r w:rsidR="00C22323">
        <w:rPr>
          <w:rFonts w:cs="Arial"/>
          <w:lang w:val="sl-SI"/>
        </w:rPr>
        <w:t>oddelku za carinjenje</w:t>
      </w:r>
      <w:r w:rsidRPr="00776209">
        <w:rPr>
          <w:rFonts w:cs="Arial"/>
          <w:lang w:val="sl-SI"/>
        </w:rPr>
        <w:t xml:space="preserve"> v elektronski obliki in mora biti izpolnjena v skladu s </w:t>
      </w:r>
      <w:hyperlink r:id="rId11" w:history="1">
        <w:r w:rsidR="00746C46" w:rsidRPr="00746C46">
          <w:rPr>
            <w:rStyle w:val="Hiperpovezava"/>
            <w:rFonts w:cs="Arial"/>
            <w:lang w:val="sl-SI"/>
          </w:rPr>
          <w:t>Pravilnikom o izpolnjevanju carinske deklaracije, elektronskem poslovanju s Finančno upravo Republike Slovenije in o drugih obrazcih, ki se uporabljajo pri izvajanju carinskih formalnosti</w:t>
        </w:r>
      </w:hyperlink>
      <w:r w:rsidRPr="00776209">
        <w:rPr>
          <w:rFonts w:cs="Arial"/>
          <w:lang w:val="sl-SI"/>
        </w:rPr>
        <w:t xml:space="preserve">. Carinski deklaraciji se priložijo tudi vsi predpisani dokumenti (npr. račun, potrdilo o poreklu, uvozno dovoljenje, prevozne listine). Blago se prepusti, če je carinski dolg plačan ali zavarovan. Višina uvoznih dajatev je odvisna od uvrstitve blaga v kombinirano nomenklaturo, porekla blaga, carinske vrednosti oz. količine. </w:t>
      </w:r>
    </w:p>
    <w:p w14:paraId="2F29C31B" w14:textId="77777777" w:rsidR="00245DB8" w:rsidRPr="00776209" w:rsidRDefault="00245DB8" w:rsidP="00746C46">
      <w:p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 </w:t>
      </w:r>
    </w:p>
    <w:p w14:paraId="702E9EF9" w14:textId="77777777" w:rsidR="00245DB8" w:rsidRPr="00776209" w:rsidRDefault="00245DB8" w:rsidP="00746C46">
      <w:pPr>
        <w:spacing w:after="120"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Pri uvozu se lahko obračunajo naslednje vrste dajatev: </w:t>
      </w:r>
    </w:p>
    <w:p w14:paraId="4795B130" w14:textId="77777777" w:rsidR="007E7F78" w:rsidRPr="00D236DE" w:rsidRDefault="007E7F78" w:rsidP="00746C46">
      <w:pPr>
        <w:spacing w:line="260" w:lineRule="exact"/>
        <w:jc w:val="both"/>
        <w:rPr>
          <w:rFonts w:cs="Arial"/>
          <w:b/>
          <w:lang w:val="sl-SI"/>
        </w:rPr>
      </w:pPr>
      <w:r w:rsidRPr="00D236DE">
        <w:rPr>
          <w:rFonts w:cs="Arial"/>
          <w:b/>
          <w:lang w:val="sl-SI"/>
        </w:rPr>
        <w:t>uvozne dajatve</w:t>
      </w:r>
      <w:r w:rsidR="001D099A">
        <w:rPr>
          <w:rFonts w:cs="Arial"/>
          <w:b/>
          <w:lang w:val="sl-SI"/>
        </w:rPr>
        <w:t>:</w:t>
      </w:r>
    </w:p>
    <w:p w14:paraId="54BB6CA8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>carina,</w:t>
      </w:r>
    </w:p>
    <w:p w14:paraId="35444A4A" w14:textId="77777777" w:rsidR="00245DB8" w:rsidRDefault="00245DB8" w:rsidP="00746C46">
      <w:pPr>
        <w:numPr>
          <w:ilvl w:val="0"/>
          <w:numId w:val="13"/>
        </w:numPr>
        <w:spacing w:after="120"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protidampinške </w:t>
      </w:r>
      <w:r w:rsidR="000753AD">
        <w:rPr>
          <w:rFonts w:cs="Arial"/>
          <w:lang w:val="sl-SI"/>
        </w:rPr>
        <w:t xml:space="preserve">in </w:t>
      </w:r>
      <w:r w:rsidRPr="00776209">
        <w:rPr>
          <w:rFonts w:cs="Arial"/>
          <w:lang w:val="sl-SI"/>
        </w:rPr>
        <w:t>izravnalne dajatve</w:t>
      </w:r>
      <w:r w:rsidR="001D099A">
        <w:rPr>
          <w:rFonts w:cs="Arial"/>
          <w:lang w:val="sl-SI"/>
        </w:rPr>
        <w:t>;</w:t>
      </w:r>
    </w:p>
    <w:p w14:paraId="17E2C9E2" w14:textId="77777777" w:rsidR="007E7F78" w:rsidRPr="00D236DE" w:rsidRDefault="007E7F78" w:rsidP="00746C46">
      <w:pPr>
        <w:spacing w:line="260" w:lineRule="exact"/>
        <w:jc w:val="both"/>
        <w:rPr>
          <w:rFonts w:cs="Arial"/>
          <w:b/>
          <w:lang w:val="sl-SI"/>
        </w:rPr>
      </w:pPr>
      <w:r w:rsidRPr="00D236DE">
        <w:rPr>
          <w:rFonts w:cs="Arial"/>
          <w:b/>
          <w:lang w:val="sl-SI"/>
        </w:rPr>
        <w:t>nacionalne dajatve</w:t>
      </w:r>
      <w:r w:rsidR="001D099A">
        <w:rPr>
          <w:rFonts w:cs="Arial"/>
          <w:b/>
          <w:lang w:val="sl-SI"/>
        </w:rPr>
        <w:t>:</w:t>
      </w:r>
    </w:p>
    <w:p w14:paraId="7267A423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>davek na dodano vrednost (DDV),</w:t>
      </w:r>
    </w:p>
    <w:p w14:paraId="0D10C608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trošarine, </w:t>
      </w:r>
    </w:p>
    <w:p w14:paraId="5789E95C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okoljska dajatev za onesnaževanje zraka z emisijo CO2 od tekočih goriv, </w:t>
      </w:r>
    </w:p>
    <w:p w14:paraId="60CA610F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okoljska dajatev za onesnaževanje zraka z emisijo CO2 od plinastih goriv, </w:t>
      </w:r>
    </w:p>
    <w:p w14:paraId="4EFA7934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okoljska dajatev za onesnaževanje zraka z emisijo CO2 od trdih goriv, </w:t>
      </w:r>
    </w:p>
    <w:p w14:paraId="7A08AA49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okoljska dajatev za onesnaževanje okolja zaradi uporabe mazalnih olj in tekočin, </w:t>
      </w:r>
    </w:p>
    <w:p w14:paraId="3979B006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okoljska dajatev za onesnaževanje okolja zaradi nastajanja izrabljenih motornih vozil, </w:t>
      </w:r>
    </w:p>
    <w:p w14:paraId="0C62B99D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davek na motorna vozila (DMV), </w:t>
      </w:r>
    </w:p>
    <w:p w14:paraId="427770EF" w14:textId="77777777" w:rsidR="00245DB8" w:rsidRPr="00776209" w:rsidRDefault="00245DB8" w:rsidP="00746C46">
      <w:pPr>
        <w:numPr>
          <w:ilvl w:val="0"/>
          <w:numId w:val="13"/>
        </w:num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>dodatni</w:t>
      </w:r>
      <w:r w:rsidR="001D099A">
        <w:rPr>
          <w:rFonts w:cs="Arial"/>
          <w:lang w:val="sl-SI"/>
        </w:rPr>
        <w:t xml:space="preserve"> davek na motorna vozila (DDMV).</w:t>
      </w:r>
    </w:p>
    <w:p w14:paraId="7B3463CD" w14:textId="77777777" w:rsidR="00245DB8" w:rsidRPr="00776209" w:rsidRDefault="00245DB8" w:rsidP="00746C46">
      <w:pPr>
        <w:spacing w:line="260" w:lineRule="exact"/>
        <w:jc w:val="both"/>
        <w:rPr>
          <w:rFonts w:cs="Arial"/>
          <w:lang w:val="sl-SI"/>
        </w:rPr>
      </w:pPr>
    </w:p>
    <w:p w14:paraId="23E5ADA7" w14:textId="77777777" w:rsidR="00245DB8" w:rsidRDefault="00245DB8" w:rsidP="00746C46">
      <w:p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V </w:t>
      </w:r>
      <w:r w:rsidR="001D099A">
        <w:rPr>
          <w:rFonts w:cs="Arial"/>
          <w:lang w:val="sl-SI"/>
        </w:rPr>
        <w:t>posameznih</w:t>
      </w:r>
      <w:r w:rsidRPr="00776209">
        <w:rPr>
          <w:rFonts w:cs="Arial"/>
          <w:lang w:val="sl-SI"/>
        </w:rPr>
        <w:t xml:space="preserve"> primerih ni </w:t>
      </w:r>
      <w:r w:rsidR="001D099A">
        <w:rPr>
          <w:rFonts w:cs="Arial"/>
          <w:lang w:val="sl-SI"/>
        </w:rPr>
        <w:t>treba</w:t>
      </w:r>
      <w:r w:rsidRPr="00776209">
        <w:rPr>
          <w:rFonts w:cs="Arial"/>
          <w:lang w:val="sl-SI"/>
        </w:rPr>
        <w:t xml:space="preserve"> vložiti</w:t>
      </w:r>
      <w:r w:rsidR="0003086F">
        <w:rPr>
          <w:rFonts w:cs="Arial"/>
          <w:lang w:val="sl-SI"/>
        </w:rPr>
        <w:t xml:space="preserve"> elektronske </w:t>
      </w:r>
      <w:r w:rsidRPr="00776209">
        <w:rPr>
          <w:rFonts w:cs="Arial"/>
          <w:lang w:val="sl-SI"/>
        </w:rPr>
        <w:t xml:space="preserve">carinske deklaracije, ampak se </w:t>
      </w:r>
      <w:r w:rsidR="001D099A" w:rsidRPr="00776209">
        <w:rPr>
          <w:rFonts w:cs="Arial"/>
          <w:lang w:val="sl-SI"/>
        </w:rPr>
        <w:t xml:space="preserve">lahko </w:t>
      </w:r>
      <w:r w:rsidRPr="00776209">
        <w:rPr>
          <w:rFonts w:cs="Arial"/>
          <w:lang w:val="sl-SI"/>
        </w:rPr>
        <w:t>blago sprosti v prost promet z ustnim deklariranjem. Takšen način prijave se lahko odobri za blago nekomercialne narave v potnikovi osebni prtljagi, za blago komercialne narave</w:t>
      </w:r>
      <w:r w:rsidR="00C22323">
        <w:rPr>
          <w:rFonts w:cs="Arial"/>
          <w:lang w:val="sl-SI"/>
        </w:rPr>
        <w:t>, če ne presega bodisi</w:t>
      </w:r>
      <w:r w:rsidR="001D099A">
        <w:rPr>
          <w:rFonts w:cs="Arial"/>
          <w:lang w:val="sl-SI"/>
        </w:rPr>
        <w:t xml:space="preserve"> vrednosti </w:t>
      </w:r>
      <w:r w:rsidRPr="00776209">
        <w:rPr>
          <w:rFonts w:cs="Arial"/>
          <w:lang w:val="sl-SI"/>
        </w:rPr>
        <w:t>1000 EUR</w:t>
      </w:r>
      <w:r w:rsidR="00C22323">
        <w:rPr>
          <w:rFonts w:cs="Arial"/>
          <w:lang w:val="sl-SI"/>
        </w:rPr>
        <w:t xml:space="preserve"> bodisi neto mase 1000 kg</w:t>
      </w:r>
      <w:r w:rsidRPr="00776209">
        <w:rPr>
          <w:rFonts w:cs="Arial"/>
          <w:lang w:val="sl-SI"/>
        </w:rPr>
        <w:t xml:space="preserve">, in v drugih primerih, če carinski organi to odobrijo. </w:t>
      </w:r>
    </w:p>
    <w:p w14:paraId="3D43B503" w14:textId="77777777" w:rsidR="00363072" w:rsidRDefault="00363072" w:rsidP="00746C46">
      <w:pPr>
        <w:spacing w:line="260" w:lineRule="exact"/>
        <w:jc w:val="both"/>
        <w:rPr>
          <w:rFonts w:cs="Arial"/>
          <w:lang w:val="sl-SI"/>
        </w:rPr>
      </w:pPr>
    </w:p>
    <w:p w14:paraId="698409A8" w14:textId="77777777" w:rsidR="006B2A1E" w:rsidRPr="006B2A1E" w:rsidRDefault="006B2A1E" w:rsidP="00746C46">
      <w:pPr>
        <w:spacing w:line="260" w:lineRule="exact"/>
        <w:jc w:val="both"/>
        <w:rPr>
          <w:rFonts w:cs="Arial"/>
          <w:b/>
          <w:i/>
          <w:lang w:val="sl-SI"/>
        </w:rPr>
      </w:pPr>
      <w:r w:rsidRPr="006B2A1E">
        <w:rPr>
          <w:rFonts w:cs="Arial"/>
          <w:b/>
          <w:i/>
          <w:lang w:val="sl-SI"/>
        </w:rPr>
        <w:t>Uvozni DDV</w:t>
      </w:r>
    </w:p>
    <w:p w14:paraId="09735C82" w14:textId="77777777" w:rsidR="00363072" w:rsidRPr="00363072" w:rsidRDefault="00363072" w:rsidP="00746C46">
      <w:pPr>
        <w:spacing w:line="260" w:lineRule="exact"/>
        <w:jc w:val="both"/>
        <w:rPr>
          <w:rFonts w:cs="Arial"/>
          <w:lang w:val="sl-SI"/>
        </w:rPr>
      </w:pPr>
      <w:r w:rsidRPr="00363072">
        <w:rPr>
          <w:rFonts w:cs="Arial"/>
          <w:lang w:val="sl-SI"/>
        </w:rPr>
        <w:t>Pri uvozu blaga se DDV plačuje kot bi bil uvozna dajatev. DDV pri uvozu zaračunava carinski organ, ki je v skladu s carinskimi predpisi pristojen za obračunavanje uvoznih dajatev.</w:t>
      </w:r>
    </w:p>
    <w:p w14:paraId="29B09EFA" w14:textId="77777777" w:rsidR="00363072" w:rsidRPr="00363072" w:rsidRDefault="00363072" w:rsidP="00746C46">
      <w:pPr>
        <w:spacing w:line="260" w:lineRule="exact"/>
        <w:jc w:val="both"/>
        <w:rPr>
          <w:rFonts w:cs="Arial"/>
          <w:lang w:val="sl-SI"/>
        </w:rPr>
      </w:pPr>
    </w:p>
    <w:p w14:paraId="77CF95B0" w14:textId="77777777" w:rsidR="00363072" w:rsidRDefault="00363072" w:rsidP="00746C46">
      <w:pPr>
        <w:spacing w:line="260" w:lineRule="exact"/>
        <w:jc w:val="both"/>
        <w:rPr>
          <w:rFonts w:cs="Arial"/>
          <w:lang w:val="sl-SI"/>
        </w:rPr>
      </w:pPr>
      <w:r w:rsidRPr="00363072">
        <w:rPr>
          <w:rFonts w:cs="Arial"/>
          <w:lang w:val="sl-SI"/>
        </w:rPr>
        <w:t xml:space="preserve">Kadar so izpolnjeni predpisani pogoji, pa se uvozni DDV izkaže v obračunu DDV in plača v roku, v katerem je treba predložiti obračun DDV. Prejemnik blaga mora biti davčni zavezanec, identificiran za namene DDV, ki ima veljavno slovensko identifikacijsko številko za </w:t>
      </w:r>
      <w:r w:rsidR="006B2A1E">
        <w:rPr>
          <w:rFonts w:cs="Arial"/>
          <w:lang w:val="sl-SI"/>
        </w:rPr>
        <w:t>DDV</w:t>
      </w:r>
      <w:r w:rsidRPr="00363072">
        <w:rPr>
          <w:rFonts w:cs="Arial"/>
          <w:lang w:val="sl-SI"/>
        </w:rPr>
        <w:t>. Prejemnik blaga, ki nima sedeža v Sloveniji in želi uvozni DDV izkazati v obračunu DDV, mora pred vložitvijo carinske deklaracije imenovati posebnega davčnega zastopnika, ki je solidarno odgovoren za plačilo DDV od uvoza blaga.</w:t>
      </w:r>
    </w:p>
    <w:p w14:paraId="71AE7BF8" w14:textId="77777777" w:rsidR="006B2A1E" w:rsidRDefault="006B2A1E" w:rsidP="00746C46">
      <w:pPr>
        <w:spacing w:line="260" w:lineRule="exact"/>
        <w:jc w:val="both"/>
        <w:rPr>
          <w:rFonts w:cs="Arial"/>
          <w:lang w:val="sl-SI"/>
        </w:rPr>
      </w:pPr>
    </w:p>
    <w:p w14:paraId="4DD6BCD3" w14:textId="73FEE14D" w:rsidR="006B2A1E" w:rsidRPr="00363072" w:rsidRDefault="006B2A1E" w:rsidP="00746C46">
      <w:pPr>
        <w:spacing w:line="260" w:lineRule="exact"/>
        <w:jc w:val="both"/>
        <w:rPr>
          <w:rFonts w:cs="Arial"/>
          <w:lang w:val="sl-SI"/>
        </w:rPr>
      </w:pPr>
      <w:r>
        <w:rPr>
          <w:rFonts w:cs="Arial"/>
          <w:lang w:val="sl-SI"/>
        </w:rPr>
        <w:t>Plačilo uvoznega DDV je podrobneje opisano v Navodilu o formalnostih, vezanih na plačevanje uvoznega DDV.</w:t>
      </w:r>
    </w:p>
    <w:p w14:paraId="4216BB80" w14:textId="77777777" w:rsidR="00363072" w:rsidRPr="00776209" w:rsidRDefault="00363072" w:rsidP="00746C46">
      <w:pPr>
        <w:spacing w:line="260" w:lineRule="exact"/>
        <w:jc w:val="both"/>
        <w:rPr>
          <w:rFonts w:cs="Arial"/>
          <w:lang w:val="sl-SI"/>
        </w:rPr>
      </w:pPr>
    </w:p>
    <w:p w14:paraId="7D23F6F6" w14:textId="77777777" w:rsidR="00245DB8" w:rsidRPr="006B2A1E" w:rsidRDefault="006B2A1E" w:rsidP="00746C46">
      <w:pPr>
        <w:spacing w:line="260" w:lineRule="exact"/>
        <w:jc w:val="both"/>
        <w:rPr>
          <w:rFonts w:cs="Arial"/>
          <w:b/>
          <w:i/>
          <w:lang w:val="sl-SI"/>
        </w:rPr>
      </w:pPr>
      <w:r w:rsidRPr="006B2A1E">
        <w:rPr>
          <w:rFonts w:cs="Arial"/>
          <w:b/>
          <w:i/>
          <w:lang w:val="sl-SI"/>
        </w:rPr>
        <w:t>Oprostitve plačila dajatev</w:t>
      </w:r>
      <w:r w:rsidR="00245DB8" w:rsidRPr="006B2A1E">
        <w:rPr>
          <w:rFonts w:cs="Arial"/>
          <w:b/>
          <w:i/>
          <w:lang w:val="sl-SI"/>
        </w:rPr>
        <w:t xml:space="preserve"> </w:t>
      </w:r>
    </w:p>
    <w:p w14:paraId="67C636EC" w14:textId="35B55B18" w:rsidR="00F079C5" w:rsidRPr="00776209" w:rsidRDefault="00245DB8" w:rsidP="00746C46">
      <w:p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Blago je lahko oproščeno plačila uvoznih dajatev tudi, če se uvaža za namene, ki so navedeni v </w:t>
      </w:r>
      <w:hyperlink r:id="rId12" w:history="1">
        <w:r w:rsidRPr="00D236DE">
          <w:rPr>
            <w:rStyle w:val="Hiperpovezava"/>
            <w:rFonts w:cs="Arial"/>
            <w:lang w:val="sl-SI"/>
          </w:rPr>
          <w:t>Uredbi Sveta (EGS), št. 1186/2009</w:t>
        </w:r>
      </w:hyperlink>
      <w:r w:rsidRPr="00776209">
        <w:rPr>
          <w:rFonts w:cs="Arial"/>
          <w:lang w:val="sl-SI"/>
        </w:rPr>
        <w:t xml:space="preserve">, o sistemu oprostitev carin v </w:t>
      </w:r>
      <w:r w:rsidR="0003086F">
        <w:rPr>
          <w:rFonts w:cs="Arial"/>
          <w:lang w:val="sl-SI"/>
        </w:rPr>
        <w:t>Uniji</w:t>
      </w:r>
      <w:r w:rsidR="001D099A">
        <w:rPr>
          <w:rFonts w:cs="Arial"/>
          <w:lang w:val="sl-SI"/>
        </w:rPr>
        <w:t>,</w:t>
      </w:r>
      <w:r w:rsidRPr="00776209">
        <w:rPr>
          <w:rFonts w:cs="Arial"/>
          <w:lang w:val="sl-SI"/>
        </w:rPr>
        <w:t xml:space="preserve"> in je hkrati oproščeno plačila </w:t>
      </w:r>
      <w:r w:rsidRPr="00776209">
        <w:rPr>
          <w:rFonts w:cs="Arial"/>
          <w:lang w:val="sl-SI"/>
        </w:rPr>
        <w:lastRenderedPageBreak/>
        <w:t>davka</w:t>
      </w:r>
      <w:r w:rsidR="00040C37">
        <w:rPr>
          <w:rFonts w:cs="Arial"/>
          <w:lang w:val="sl-SI"/>
        </w:rPr>
        <w:t xml:space="preserve"> na dodano vrednost</w:t>
      </w:r>
      <w:r w:rsidR="00E15B6A">
        <w:rPr>
          <w:rFonts w:cs="Arial"/>
          <w:lang w:val="sl-SI"/>
        </w:rPr>
        <w:t xml:space="preserve"> v skladu z</w:t>
      </w:r>
      <w:r w:rsidR="00F62F36">
        <w:rPr>
          <w:rFonts w:cs="Arial"/>
          <w:lang w:val="sl-SI"/>
        </w:rPr>
        <w:t xml:space="preserve"> Zakonom o davku na dodano vrednost.</w:t>
      </w:r>
      <w:r w:rsidR="006B2A1E">
        <w:rPr>
          <w:rFonts w:cs="Arial"/>
          <w:lang w:val="sl-SI"/>
        </w:rPr>
        <w:t xml:space="preserve"> Oprostitve so podrobneje opisane v Navodilu</w:t>
      </w:r>
      <w:r w:rsidR="006B2A1E" w:rsidRPr="00746C46">
        <w:rPr>
          <w:lang w:val="sl-SI"/>
        </w:rPr>
        <w:t xml:space="preserve"> </w:t>
      </w:r>
      <w:r w:rsidR="006B2A1E" w:rsidRPr="006B2A1E">
        <w:rPr>
          <w:rFonts w:cs="Arial"/>
          <w:lang w:val="sl-SI"/>
        </w:rPr>
        <w:t>o uveljavljanju pravice do oprostitve uvoznih dajatev in drugih dajatev, ki se plačujejo ob uvozu</w:t>
      </w:r>
      <w:r w:rsidR="006B2A1E">
        <w:rPr>
          <w:rFonts w:cs="Arial"/>
          <w:lang w:val="sl-SI"/>
        </w:rPr>
        <w:t>.</w:t>
      </w:r>
    </w:p>
    <w:p w14:paraId="3A35E9CE" w14:textId="77777777" w:rsidR="000753AD" w:rsidRDefault="000753AD" w:rsidP="00746C46">
      <w:pPr>
        <w:pStyle w:val="FURSnaslov2"/>
        <w:spacing w:line="260" w:lineRule="exact"/>
        <w:rPr>
          <w:rFonts w:cs="Arial"/>
        </w:rPr>
      </w:pPr>
    </w:p>
    <w:p w14:paraId="18C26905" w14:textId="77777777" w:rsidR="002A3E4B" w:rsidRDefault="002A3E4B" w:rsidP="00746C46">
      <w:pPr>
        <w:pStyle w:val="FURSnaslov2"/>
        <w:spacing w:line="260" w:lineRule="exact"/>
        <w:rPr>
          <w:rFonts w:cs="Arial"/>
        </w:rPr>
      </w:pPr>
    </w:p>
    <w:p w14:paraId="41575728" w14:textId="1CDD9740" w:rsidR="00CA699D" w:rsidRPr="00776209" w:rsidRDefault="008E7945" w:rsidP="00746C46">
      <w:pPr>
        <w:pStyle w:val="FURSnaslov2"/>
        <w:spacing w:line="260" w:lineRule="exact"/>
        <w:rPr>
          <w:rFonts w:cs="Arial"/>
        </w:rPr>
      </w:pPr>
      <w:bookmarkStart w:id="1" w:name="_Toc127349316"/>
      <w:r w:rsidRPr="00776209">
        <w:rPr>
          <w:rFonts w:cs="Arial"/>
        </w:rPr>
        <w:t>1.2</w:t>
      </w:r>
      <w:r w:rsidR="00776209" w:rsidRPr="00776209">
        <w:rPr>
          <w:rFonts w:cs="Arial"/>
        </w:rPr>
        <w:t xml:space="preserve"> </w:t>
      </w:r>
      <w:r w:rsidR="000A488B" w:rsidRPr="00776209">
        <w:rPr>
          <w:rFonts w:cs="Arial"/>
        </w:rPr>
        <w:t xml:space="preserve"> </w:t>
      </w:r>
      <w:r w:rsidR="0096770E">
        <w:rPr>
          <w:rFonts w:cs="Arial"/>
        </w:rPr>
        <w:t xml:space="preserve">Postopek </w:t>
      </w:r>
      <w:r w:rsidR="006F19C6" w:rsidRPr="00776209">
        <w:rPr>
          <w:rFonts w:cs="Arial"/>
        </w:rPr>
        <w:t>posebn</w:t>
      </w:r>
      <w:r w:rsidR="0096770E">
        <w:rPr>
          <w:rFonts w:cs="Arial"/>
        </w:rPr>
        <w:t>e</w:t>
      </w:r>
      <w:r w:rsidR="006F19C6" w:rsidRPr="00776209">
        <w:rPr>
          <w:rFonts w:cs="Arial"/>
        </w:rPr>
        <w:t xml:space="preserve"> rab</w:t>
      </w:r>
      <w:r w:rsidR="0096770E">
        <w:rPr>
          <w:rFonts w:cs="Arial"/>
        </w:rPr>
        <w:t>e</w:t>
      </w:r>
      <w:r w:rsidR="009A2B38" w:rsidRPr="00776209">
        <w:rPr>
          <w:rFonts w:cs="Arial"/>
        </w:rPr>
        <w:t xml:space="preserve"> (</w:t>
      </w:r>
      <w:r w:rsidR="001D099A" w:rsidRPr="001D099A">
        <w:rPr>
          <w:rFonts w:cs="Arial"/>
          <w:i/>
          <w:lang w:val="en-GB"/>
        </w:rPr>
        <w:t>end-use</w:t>
      </w:r>
      <w:r w:rsidR="009A2B38" w:rsidRPr="001D099A">
        <w:rPr>
          <w:rFonts w:cs="Arial"/>
          <w:lang w:val="en-GB"/>
        </w:rPr>
        <w:t>)</w:t>
      </w:r>
      <w:bookmarkEnd w:id="1"/>
    </w:p>
    <w:p w14:paraId="4EB772C5" w14:textId="77777777" w:rsidR="009A2B38" w:rsidRPr="00776209" w:rsidRDefault="009A2B38" w:rsidP="00746C46">
      <w:pPr>
        <w:spacing w:line="260" w:lineRule="exact"/>
        <w:rPr>
          <w:rFonts w:cs="Arial"/>
          <w:lang w:val="sl-SI"/>
        </w:rPr>
      </w:pPr>
    </w:p>
    <w:p w14:paraId="6EBAD637" w14:textId="77777777" w:rsidR="006F19C6" w:rsidRPr="00776209" w:rsidRDefault="006F19C6" w:rsidP="00746C46">
      <w:pPr>
        <w:spacing w:line="260" w:lineRule="exact"/>
        <w:jc w:val="both"/>
        <w:rPr>
          <w:rFonts w:cs="Arial"/>
          <w:lang w:val="sl-SI"/>
        </w:rPr>
      </w:pPr>
      <w:r w:rsidRPr="00776209">
        <w:rPr>
          <w:rFonts w:cs="Arial"/>
          <w:lang w:val="sl-SI"/>
        </w:rPr>
        <w:t xml:space="preserve">Postopek sprostitve v prost promet blaga za posebno rabo omogoča, da se blago zaradi uporabe v posebne namene sprosti v prost promet z znižano uvozno dajatvijo ali po stopnji nič. </w:t>
      </w:r>
      <w:r w:rsidR="001D099A">
        <w:rPr>
          <w:rFonts w:cs="Arial"/>
          <w:lang w:val="sl-SI"/>
        </w:rPr>
        <w:t>P</w:t>
      </w:r>
      <w:r w:rsidRPr="00776209">
        <w:rPr>
          <w:rFonts w:cs="Arial"/>
          <w:lang w:val="sl-SI"/>
        </w:rPr>
        <w:t xml:space="preserve">o sprostitvi ostane </w:t>
      </w:r>
      <w:r w:rsidR="001D099A">
        <w:rPr>
          <w:rFonts w:cs="Arial"/>
          <w:lang w:val="sl-SI"/>
        </w:rPr>
        <w:t>b</w:t>
      </w:r>
      <w:r w:rsidR="001D099A" w:rsidRPr="00776209">
        <w:rPr>
          <w:rFonts w:cs="Arial"/>
          <w:lang w:val="sl-SI"/>
        </w:rPr>
        <w:t xml:space="preserve">lago </w:t>
      </w:r>
      <w:r w:rsidRPr="00776209">
        <w:rPr>
          <w:rFonts w:cs="Arial"/>
          <w:lang w:val="sl-SI"/>
        </w:rPr>
        <w:t xml:space="preserve">pod carinskim nadzorom. </w:t>
      </w:r>
    </w:p>
    <w:p w14:paraId="10B8F657" w14:textId="77777777" w:rsidR="006F19C6" w:rsidRPr="00776209" w:rsidRDefault="006F19C6" w:rsidP="00746C46">
      <w:pPr>
        <w:spacing w:line="260" w:lineRule="exact"/>
        <w:jc w:val="both"/>
        <w:rPr>
          <w:rFonts w:cs="Arial"/>
          <w:lang w:val="sl-SI"/>
        </w:rPr>
      </w:pPr>
    </w:p>
    <w:p w14:paraId="3340F266" w14:textId="77777777" w:rsidR="00C736ED" w:rsidRDefault="0096770E" w:rsidP="00746C46">
      <w:pPr>
        <w:spacing w:line="260" w:lineRule="exact"/>
        <w:jc w:val="both"/>
        <w:rPr>
          <w:rFonts w:cs="Arial"/>
          <w:lang w:val="sl-SI"/>
        </w:rPr>
      </w:pPr>
      <w:r w:rsidRPr="0096770E">
        <w:rPr>
          <w:rFonts w:cs="Arial"/>
          <w:szCs w:val="20"/>
          <w:lang w:val="sl-SI" w:eastAsia="sl-SI"/>
        </w:rPr>
        <w:t>Za izvajanje postopka posebne rabe je potrebno pridobiti dovoljenje carinskega organa</w:t>
      </w:r>
      <w:r w:rsidR="006F19C6" w:rsidRPr="00776209">
        <w:rPr>
          <w:rFonts w:cs="Arial"/>
          <w:lang w:val="sl-SI"/>
        </w:rPr>
        <w:t xml:space="preserve">. </w:t>
      </w:r>
      <w:r w:rsidRPr="0096770E">
        <w:rPr>
          <w:rFonts w:cs="Arial"/>
          <w:szCs w:val="20"/>
          <w:lang w:val="sl-SI" w:eastAsia="sl-SI"/>
        </w:rPr>
        <w:t xml:space="preserve">Zahtevek se vloži v elektronski obliki preko sistema CDS - </w:t>
      </w:r>
      <w:hyperlink r:id="rId13" w:history="1">
        <w:r w:rsidRPr="00C736ED">
          <w:rPr>
            <w:rStyle w:val="Hiperpovezava"/>
            <w:rFonts w:cs="Arial"/>
            <w:szCs w:val="20"/>
            <w:lang w:val="sl-SI" w:eastAsia="sl-SI"/>
          </w:rPr>
          <w:t>portal za gospodarske subjekte (TP)</w:t>
        </w:r>
      </w:hyperlink>
      <w:r>
        <w:rPr>
          <w:rFonts w:cs="Arial"/>
          <w:szCs w:val="20"/>
          <w:lang w:val="sl-SI" w:eastAsia="sl-SI"/>
        </w:rPr>
        <w:t>.</w:t>
      </w:r>
      <w:r w:rsidR="006F19C6" w:rsidRPr="00776209">
        <w:rPr>
          <w:rFonts w:cs="Arial"/>
          <w:lang w:val="sl-SI"/>
        </w:rPr>
        <w:t xml:space="preserve"> </w:t>
      </w:r>
    </w:p>
    <w:p w14:paraId="5F8BC554" w14:textId="77777777" w:rsidR="00C736ED" w:rsidRDefault="00C736ED" w:rsidP="00746C46">
      <w:pPr>
        <w:spacing w:line="260" w:lineRule="exact"/>
        <w:jc w:val="both"/>
        <w:rPr>
          <w:rFonts w:cs="Arial"/>
          <w:lang w:val="sl-SI"/>
        </w:rPr>
      </w:pPr>
    </w:p>
    <w:p w14:paraId="22CF32E9" w14:textId="5DA00925" w:rsidR="006F19C6" w:rsidRPr="00776209" w:rsidRDefault="0096770E" w:rsidP="00746C46">
      <w:pPr>
        <w:spacing w:line="260" w:lineRule="exact"/>
        <w:jc w:val="both"/>
        <w:rPr>
          <w:rFonts w:cs="Arial"/>
          <w:lang w:val="sl-SI"/>
        </w:rPr>
      </w:pPr>
      <w:r>
        <w:rPr>
          <w:rFonts w:cs="Arial"/>
          <w:lang w:val="sl-SI"/>
        </w:rPr>
        <w:t>Če gre za občasne oz. enkratne primere</w:t>
      </w:r>
      <w:r w:rsidR="006F19C6" w:rsidRPr="00776209">
        <w:rPr>
          <w:rFonts w:cs="Arial"/>
          <w:lang w:val="sl-SI"/>
        </w:rPr>
        <w:t xml:space="preserve"> se lahko zahtevek </w:t>
      </w:r>
      <w:r w:rsidR="00727B07">
        <w:rPr>
          <w:rFonts w:cs="Arial"/>
          <w:lang w:val="sl-SI"/>
        </w:rPr>
        <w:t xml:space="preserve">vloži </w:t>
      </w:r>
      <w:r>
        <w:rPr>
          <w:rFonts w:cs="Arial"/>
          <w:lang w:val="sl-SI"/>
        </w:rPr>
        <w:t xml:space="preserve">na poenostavljen način </w:t>
      </w:r>
      <w:r w:rsidR="006F19C6" w:rsidRPr="00776209">
        <w:rPr>
          <w:rFonts w:cs="Arial"/>
          <w:lang w:val="sl-SI"/>
        </w:rPr>
        <w:t xml:space="preserve">v obliki carinske deklaracije. </w:t>
      </w:r>
    </w:p>
    <w:p w14:paraId="01E0DD2E" w14:textId="77777777" w:rsidR="006F19C6" w:rsidRPr="00776209" w:rsidRDefault="006F19C6" w:rsidP="00746C46">
      <w:pPr>
        <w:spacing w:line="260" w:lineRule="exact"/>
        <w:jc w:val="both"/>
        <w:rPr>
          <w:rFonts w:cs="Arial"/>
          <w:lang w:val="sl-SI"/>
        </w:rPr>
      </w:pPr>
    </w:p>
    <w:p w14:paraId="2A91DA98" w14:textId="6A018293" w:rsidR="00F079C5" w:rsidRPr="00D236DE" w:rsidRDefault="006F19C6" w:rsidP="00746C46">
      <w:pPr>
        <w:spacing w:line="260" w:lineRule="exact"/>
        <w:jc w:val="both"/>
        <w:rPr>
          <w:rFonts w:cs="Arial"/>
          <w:b/>
          <w:lang w:val="sl-SI"/>
        </w:rPr>
      </w:pPr>
      <w:r w:rsidRPr="00776209">
        <w:rPr>
          <w:rFonts w:cs="Arial"/>
          <w:lang w:val="sl-SI"/>
        </w:rPr>
        <w:t xml:space="preserve">Postopek sprostitve v prost promet blaga za posebno rabo je podrobneje opisan </w:t>
      </w:r>
      <w:r w:rsidRPr="00D236DE">
        <w:rPr>
          <w:rFonts w:cs="Arial"/>
          <w:lang w:val="sl-SI"/>
        </w:rPr>
        <w:t xml:space="preserve">v Navodilu o </w:t>
      </w:r>
      <w:r w:rsidR="0096770E">
        <w:rPr>
          <w:rFonts w:cs="Arial"/>
          <w:lang w:val="sl-SI"/>
        </w:rPr>
        <w:t xml:space="preserve">izvajanju postopka posebne rabe. </w:t>
      </w:r>
    </w:p>
    <w:p w14:paraId="387BCB7E" w14:textId="77777777" w:rsidR="001D099A" w:rsidRDefault="001D099A" w:rsidP="00746C46">
      <w:pPr>
        <w:spacing w:line="260" w:lineRule="exact"/>
        <w:jc w:val="both"/>
        <w:rPr>
          <w:rFonts w:cs="Arial"/>
          <w:lang w:val="sl-SI"/>
        </w:rPr>
      </w:pPr>
    </w:p>
    <w:p w14:paraId="403E6400" w14:textId="77777777" w:rsidR="002A3E4B" w:rsidRPr="00776209" w:rsidRDefault="002A3E4B" w:rsidP="00746C46">
      <w:pPr>
        <w:spacing w:line="260" w:lineRule="exact"/>
        <w:jc w:val="both"/>
        <w:rPr>
          <w:rFonts w:cs="Arial"/>
          <w:lang w:val="sl-SI"/>
        </w:rPr>
      </w:pPr>
    </w:p>
    <w:p w14:paraId="003A7C31" w14:textId="77777777" w:rsidR="00F079C5" w:rsidRPr="00776209" w:rsidRDefault="008E7945" w:rsidP="00746C46">
      <w:pPr>
        <w:pStyle w:val="FURSnaslov2"/>
        <w:spacing w:line="260" w:lineRule="exact"/>
        <w:rPr>
          <w:rFonts w:cs="Arial"/>
        </w:rPr>
      </w:pPr>
      <w:bookmarkStart w:id="2" w:name="_Toc127349317"/>
      <w:r w:rsidRPr="00776209">
        <w:rPr>
          <w:rFonts w:cs="Arial"/>
        </w:rPr>
        <w:t>1.</w:t>
      </w:r>
      <w:r w:rsidR="00F044D8" w:rsidRPr="00776209">
        <w:rPr>
          <w:rFonts w:cs="Arial"/>
        </w:rPr>
        <w:t xml:space="preserve">3 </w:t>
      </w:r>
      <w:r w:rsidR="00776209" w:rsidRPr="00776209">
        <w:rPr>
          <w:rFonts w:cs="Arial"/>
        </w:rPr>
        <w:t xml:space="preserve"> </w:t>
      </w:r>
      <w:r w:rsidR="001201BB" w:rsidRPr="00776209">
        <w:rPr>
          <w:rFonts w:cs="Arial"/>
        </w:rPr>
        <w:t>Postopek 42</w:t>
      </w:r>
      <w:bookmarkEnd w:id="2"/>
    </w:p>
    <w:p w14:paraId="5EBB07FD" w14:textId="77777777" w:rsidR="008E7945" w:rsidRPr="00776209" w:rsidRDefault="008E7945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482E6AD9" w14:textId="77777777" w:rsidR="00570AF4" w:rsidRPr="00776209" w:rsidRDefault="00570AF4" w:rsidP="00746C46">
      <w:pPr>
        <w:pStyle w:val="Navadensplet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76209">
        <w:rPr>
          <w:rFonts w:ascii="Arial" w:hAnsi="Arial" w:cs="Arial"/>
          <w:sz w:val="20"/>
          <w:szCs w:val="20"/>
        </w:rPr>
        <w:t xml:space="preserve">Postopek 42 je postopek sprostitve v prost promet in vnosa v domačo porabo za blago, ki je oproščeno DDV v okviru davčne dobave v drugo državo članico. Ob sprostitvi v prost promet se za blago plačajo carina in druge uvozne dajatve, ker pa bo izvršena davčna dobava blaga v drugo državo članico, se blago oprosti plačila DDV. </w:t>
      </w:r>
    </w:p>
    <w:p w14:paraId="37C5EB50" w14:textId="77777777" w:rsidR="00570AF4" w:rsidRPr="00570AF4" w:rsidRDefault="00570AF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> </w:t>
      </w:r>
    </w:p>
    <w:p w14:paraId="3EE125CB" w14:textId="77777777" w:rsidR="00570AF4" w:rsidRPr="00570AF4" w:rsidRDefault="00570AF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>Postopek 42 se dovoli, če so v deklaraciji navedeni:</w:t>
      </w:r>
    </w:p>
    <w:p w14:paraId="5E73AC65" w14:textId="5065E2D7" w:rsidR="00570AF4" w:rsidRPr="00570AF4" w:rsidRDefault="00570AF4" w:rsidP="00746C46">
      <w:pPr>
        <w:numPr>
          <w:ilvl w:val="0"/>
          <w:numId w:val="7"/>
        </w:numPr>
        <w:spacing w:after="100" w:afterAutospacing="1" w:line="260" w:lineRule="exact"/>
        <w:ind w:left="714" w:hanging="357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 xml:space="preserve">slovenska identifikacijska številka za DDV </w:t>
      </w:r>
      <w:r w:rsidR="00746C46">
        <w:rPr>
          <w:rFonts w:cs="Arial"/>
          <w:szCs w:val="20"/>
          <w:lang w:val="sl-SI" w:eastAsia="sl-SI"/>
        </w:rPr>
        <w:t>uvoznika</w:t>
      </w:r>
      <w:r w:rsidR="00746C46" w:rsidRPr="00570AF4">
        <w:rPr>
          <w:rFonts w:cs="Arial"/>
          <w:szCs w:val="20"/>
          <w:lang w:val="sl-SI" w:eastAsia="sl-SI"/>
        </w:rPr>
        <w:t xml:space="preserve"> </w:t>
      </w:r>
      <w:r w:rsidRPr="00570AF4">
        <w:rPr>
          <w:rFonts w:cs="Arial"/>
          <w:szCs w:val="20"/>
          <w:lang w:val="sl-SI" w:eastAsia="sl-SI"/>
        </w:rPr>
        <w:t>ali njegovega davčnega zastopnika;</w:t>
      </w:r>
    </w:p>
    <w:p w14:paraId="30BA031A" w14:textId="043FE59B" w:rsidR="00073E25" w:rsidRDefault="00073E25" w:rsidP="00746C46">
      <w:pPr>
        <w:numPr>
          <w:ilvl w:val="0"/>
          <w:numId w:val="7"/>
        </w:numPr>
        <w:spacing w:before="100" w:beforeAutospacing="1" w:after="100" w:afterAutospacing="1" w:line="260" w:lineRule="exact"/>
        <w:jc w:val="both"/>
        <w:rPr>
          <w:rFonts w:cs="Arial"/>
          <w:szCs w:val="20"/>
          <w:lang w:val="sl-SI" w:eastAsia="sl-SI"/>
        </w:rPr>
      </w:pPr>
      <w:r w:rsidRPr="00C91F8D">
        <w:rPr>
          <w:rFonts w:cs="Arial"/>
          <w:color w:val="000000"/>
          <w:szCs w:val="20"/>
          <w:lang w:val="sl-SI"/>
        </w:rPr>
        <w:t>identifikacijsk</w:t>
      </w:r>
      <w:r>
        <w:rPr>
          <w:rFonts w:cs="Arial"/>
          <w:color w:val="000000"/>
          <w:szCs w:val="20"/>
          <w:lang w:val="sl-SI"/>
        </w:rPr>
        <w:t>a</w:t>
      </w:r>
      <w:r w:rsidRPr="00C91F8D">
        <w:rPr>
          <w:rFonts w:cs="Arial"/>
          <w:color w:val="000000"/>
          <w:szCs w:val="20"/>
          <w:lang w:val="sl-SI"/>
        </w:rPr>
        <w:t xml:space="preserve"> številk</w:t>
      </w:r>
      <w:r>
        <w:rPr>
          <w:rFonts w:cs="Arial"/>
          <w:color w:val="000000"/>
          <w:szCs w:val="20"/>
          <w:lang w:val="sl-SI"/>
        </w:rPr>
        <w:t>a</w:t>
      </w:r>
      <w:r w:rsidRPr="00C91F8D">
        <w:rPr>
          <w:rFonts w:cs="Arial"/>
          <w:color w:val="000000"/>
          <w:szCs w:val="20"/>
          <w:lang w:val="sl-SI"/>
        </w:rPr>
        <w:t xml:space="preserve"> za DDV</w:t>
      </w:r>
      <w:r>
        <w:rPr>
          <w:rFonts w:cs="Arial"/>
          <w:color w:val="000000"/>
          <w:szCs w:val="20"/>
          <w:lang w:val="sl-SI"/>
        </w:rPr>
        <w:t xml:space="preserve"> uvoznika</w:t>
      </w:r>
      <w:r w:rsidRPr="00C91F8D">
        <w:rPr>
          <w:rFonts w:cs="Arial"/>
          <w:color w:val="000000"/>
          <w:szCs w:val="20"/>
          <w:lang w:val="sl-SI"/>
        </w:rPr>
        <w:t>, ki jo izda davčni organ v državi sedeža, če gre za uvoznika iz druge države članice, ki nima identifikacijske številke za DDV, ki jo izda davčni organ v Sloveniji</w:t>
      </w:r>
      <w:r>
        <w:rPr>
          <w:rFonts w:cs="Arial"/>
          <w:color w:val="000000"/>
          <w:szCs w:val="20"/>
          <w:lang w:val="sl-SI"/>
        </w:rPr>
        <w:t>;</w:t>
      </w:r>
    </w:p>
    <w:p w14:paraId="16A97BC1" w14:textId="24441E77" w:rsidR="00570AF4" w:rsidRPr="00570AF4" w:rsidRDefault="00570AF4" w:rsidP="00746C46">
      <w:pPr>
        <w:numPr>
          <w:ilvl w:val="0"/>
          <w:numId w:val="7"/>
        </w:numPr>
        <w:spacing w:before="100" w:beforeAutospacing="1" w:after="100" w:afterAutospacing="1" w:line="260" w:lineRule="exact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>identifikacijska številka za DDV prejemnika blaga iz druge države članice in</w:t>
      </w:r>
    </w:p>
    <w:p w14:paraId="7EFD6583" w14:textId="77777777" w:rsidR="00570AF4" w:rsidRPr="00570AF4" w:rsidRDefault="00570AF4" w:rsidP="00746C46">
      <w:pPr>
        <w:numPr>
          <w:ilvl w:val="0"/>
          <w:numId w:val="7"/>
        </w:numPr>
        <w:spacing w:before="100" w:beforeAutospacing="1" w:after="100" w:afterAutospacing="1" w:line="260" w:lineRule="exact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>dokaz, da bo blago zapustilo območje Republike Slovenije in bo šlo v drugo državo članico (prevozna listina ali izjava o odpremi blaga v drugo državo članico).</w:t>
      </w:r>
    </w:p>
    <w:p w14:paraId="73904EF9" w14:textId="2DA6D239" w:rsidR="00570AF4" w:rsidRPr="00A1564E" w:rsidRDefault="00570AF4" w:rsidP="00205DBC">
      <w:pPr>
        <w:spacing w:line="260" w:lineRule="exact"/>
        <w:jc w:val="both"/>
        <w:rPr>
          <w:rFonts w:cs="Arial"/>
          <w:color w:val="0070C0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 xml:space="preserve">Deklarant oziroma carinski zastopnik si pri preverjanju izpolnjevanja pogojev za postopek 42 lahko pomaga s preverjanjem veljavnosti številk EORI in identifikacijskih številk za DDV na </w:t>
      </w:r>
      <w:r w:rsidRPr="00205DBC">
        <w:rPr>
          <w:rFonts w:cs="Arial"/>
          <w:color w:val="000000" w:themeColor="text1"/>
          <w:szCs w:val="20"/>
          <w:lang w:val="sl-SI" w:eastAsia="sl-SI"/>
        </w:rPr>
        <w:t>internetu:</w:t>
      </w:r>
    </w:p>
    <w:p w14:paraId="06802F69" w14:textId="7B9CECE2" w:rsidR="00073E25" w:rsidRDefault="00073E25" w:rsidP="00746C46">
      <w:pPr>
        <w:numPr>
          <w:ilvl w:val="0"/>
          <w:numId w:val="8"/>
        </w:numPr>
        <w:spacing w:line="260" w:lineRule="exact"/>
        <w:ind w:left="714" w:hanging="357"/>
        <w:jc w:val="both"/>
        <w:rPr>
          <w:rFonts w:cs="Arial"/>
          <w:szCs w:val="20"/>
          <w:lang w:val="sl-SI" w:eastAsia="sl-SI"/>
        </w:rPr>
      </w:pPr>
      <w:r w:rsidRPr="00807F5A">
        <w:rPr>
          <w:rFonts w:cs="Arial"/>
          <w:color w:val="000000" w:themeColor="text1"/>
          <w:szCs w:val="20"/>
          <w:lang w:val="sl-SI" w:eastAsia="sl-SI"/>
        </w:rPr>
        <w:t xml:space="preserve">številk </w:t>
      </w:r>
      <w:r w:rsidRPr="00570AF4">
        <w:rPr>
          <w:rFonts w:cs="Arial"/>
          <w:szCs w:val="20"/>
          <w:lang w:val="sl-SI" w:eastAsia="sl-SI"/>
        </w:rPr>
        <w:t xml:space="preserve">EORI na internetni strani </w:t>
      </w:r>
      <w:hyperlink r:id="rId14" w:history="1">
        <w:r w:rsidRPr="00D236DE">
          <w:rPr>
            <w:rStyle w:val="Hiperpovezava"/>
            <w:rFonts w:cs="Arial"/>
            <w:szCs w:val="20"/>
            <w:lang w:val="sl-SI" w:eastAsia="sl-SI"/>
          </w:rPr>
          <w:t>Preverjanje veljavnosti številke EORI</w:t>
        </w:r>
      </w:hyperlink>
    </w:p>
    <w:p w14:paraId="02329A9A" w14:textId="3DAF3B3C" w:rsidR="00570AF4" w:rsidRPr="00570AF4" w:rsidRDefault="00570AF4" w:rsidP="00746C46">
      <w:pPr>
        <w:numPr>
          <w:ilvl w:val="0"/>
          <w:numId w:val="8"/>
        </w:numPr>
        <w:spacing w:line="260" w:lineRule="exact"/>
        <w:ind w:left="714" w:hanging="357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 xml:space="preserve">identifikacijskih številk za DDV na internetni strani </w:t>
      </w:r>
      <w:hyperlink r:id="rId15" w:history="1">
        <w:r w:rsidRPr="00D236DE">
          <w:rPr>
            <w:rStyle w:val="Hiperpovezava"/>
            <w:rFonts w:cs="Arial"/>
            <w:szCs w:val="20"/>
            <w:lang w:val="sl-SI" w:eastAsia="sl-SI"/>
          </w:rPr>
          <w:t xml:space="preserve">VIES VAT </w:t>
        </w:r>
        <w:proofErr w:type="spellStart"/>
        <w:r w:rsidRPr="00746C46">
          <w:rPr>
            <w:rStyle w:val="Hiperpovezava"/>
            <w:rFonts w:cs="Arial"/>
            <w:szCs w:val="20"/>
            <w:lang w:val="it-IT" w:eastAsia="sl-SI"/>
          </w:rPr>
          <w:t>validation</w:t>
        </w:r>
        <w:proofErr w:type="spellEnd"/>
      </w:hyperlink>
      <w:r w:rsidR="001D099A">
        <w:rPr>
          <w:rFonts w:cs="Arial"/>
          <w:color w:val="0070C0"/>
          <w:szCs w:val="20"/>
          <w:u w:val="single"/>
          <w:lang w:val="sl-SI" w:eastAsia="sl-SI"/>
        </w:rPr>
        <w:t>.</w:t>
      </w:r>
      <w:r w:rsidRPr="00570AF4">
        <w:rPr>
          <w:rFonts w:cs="Arial"/>
          <w:szCs w:val="20"/>
          <w:lang w:val="sl-SI" w:eastAsia="sl-SI"/>
        </w:rPr>
        <w:t xml:space="preserve"> </w:t>
      </w:r>
    </w:p>
    <w:p w14:paraId="6A61A809" w14:textId="77777777" w:rsidR="00570AF4" w:rsidRPr="00570AF4" w:rsidRDefault="00570AF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> </w:t>
      </w:r>
    </w:p>
    <w:p w14:paraId="3F7853EA" w14:textId="2FB3700A" w:rsidR="00570AF4" w:rsidRPr="00D236DE" w:rsidRDefault="00570AF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570AF4">
        <w:rPr>
          <w:rFonts w:cs="Arial"/>
          <w:szCs w:val="20"/>
          <w:lang w:val="sl-SI" w:eastAsia="sl-SI"/>
        </w:rPr>
        <w:t>Postopek 42 je podrobneje opisan in predstavljen s primeri v</w:t>
      </w:r>
      <w:r w:rsidR="00746C46" w:rsidRPr="00746C46">
        <w:rPr>
          <w:rFonts w:cs="Arial"/>
          <w:szCs w:val="20"/>
          <w:lang w:val="sl-SI" w:eastAsia="sl-SI"/>
        </w:rPr>
        <w:t>: Navodilo o izvajanju postopka sprostitve blaga v prosti promet s plačila DDV oproščeno dobavo blaga v drugo državo članico</w:t>
      </w:r>
      <w:r w:rsidRPr="00D236DE">
        <w:rPr>
          <w:rFonts w:cs="Arial"/>
          <w:szCs w:val="20"/>
          <w:lang w:val="sl-SI" w:eastAsia="sl-SI"/>
        </w:rPr>
        <w:t xml:space="preserve">. </w:t>
      </w:r>
    </w:p>
    <w:p w14:paraId="0637FF0B" w14:textId="77777777" w:rsidR="001D099A" w:rsidRDefault="001D099A" w:rsidP="00746C46">
      <w:pPr>
        <w:spacing w:line="260" w:lineRule="exact"/>
        <w:jc w:val="both"/>
        <w:rPr>
          <w:rFonts w:cs="Arial"/>
          <w:lang w:val="sl-SI"/>
        </w:rPr>
      </w:pPr>
    </w:p>
    <w:p w14:paraId="3E066125" w14:textId="77777777" w:rsidR="002A3E4B" w:rsidRPr="00D236DE" w:rsidRDefault="002A3E4B" w:rsidP="00746C46">
      <w:pPr>
        <w:spacing w:line="260" w:lineRule="exact"/>
        <w:jc w:val="both"/>
        <w:rPr>
          <w:rFonts w:cs="Arial"/>
          <w:lang w:val="sl-SI"/>
        </w:rPr>
      </w:pPr>
    </w:p>
    <w:p w14:paraId="2D4003F7" w14:textId="77777777" w:rsidR="008B67F7" w:rsidRPr="00185492" w:rsidRDefault="008B67F7" w:rsidP="00746C46">
      <w:pPr>
        <w:pStyle w:val="FURSnaslov2"/>
        <w:spacing w:line="260" w:lineRule="exact"/>
      </w:pPr>
      <w:bookmarkStart w:id="3" w:name="_Toc127349318"/>
      <w:r w:rsidRPr="00185492">
        <w:t xml:space="preserve">1.4 </w:t>
      </w:r>
      <w:r w:rsidR="00776209" w:rsidRPr="00185492">
        <w:t xml:space="preserve"> </w:t>
      </w:r>
      <w:r w:rsidRPr="00185492">
        <w:t>Aktivno oplemenitenje</w:t>
      </w:r>
      <w:bookmarkEnd w:id="3"/>
    </w:p>
    <w:p w14:paraId="0BE4F2B3" w14:textId="77777777" w:rsidR="00F079C5" w:rsidRPr="00776209" w:rsidRDefault="00F079C5" w:rsidP="00746C46">
      <w:pPr>
        <w:spacing w:line="260" w:lineRule="exact"/>
        <w:jc w:val="both"/>
        <w:rPr>
          <w:rFonts w:cs="Arial"/>
          <w:lang w:val="sl-SI"/>
        </w:rPr>
      </w:pPr>
    </w:p>
    <w:p w14:paraId="693F79F1" w14:textId="77777777" w:rsidR="00776209" w:rsidRPr="00776209" w:rsidRDefault="00776209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776209">
        <w:rPr>
          <w:rFonts w:cs="Arial"/>
          <w:szCs w:val="20"/>
          <w:lang w:val="sl-SI" w:eastAsia="sl-SI"/>
        </w:rPr>
        <w:t>Postopek aktivnega oplemenitenja omogoča, da se ne</w:t>
      </w:r>
      <w:r w:rsidR="00040C37">
        <w:rPr>
          <w:rFonts w:cs="Arial"/>
          <w:szCs w:val="20"/>
          <w:lang w:val="sl-SI" w:eastAsia="sl-SI"/>
        </w:rPr>
        <w:t>unijsko</w:t>
      </w:r>
      <w:r w:rsidRPr="00776209">
        <w:rPr>
          <w:rFonts w:cs="Arial"/>
          <w:szCs w:val="20"/>
          <w:lang w:val="sl-SI" w:eastAsia="sl-SI"/>
        </w:rPr>
        <w:t xml:space="preserve"> blago začasno uvozi v </w:t>
      </w:r>
      <w:r w:rsidR="00040C37">
        <w:rPr>
          <w:rFonts w:cs="Arial"/>
          <w:szCs w:val="20"/>
          <w:lang w:val="sl-SI" w:eastAsia="sl-SI"/>
        </w:rPr>
        <w:t>Unijo</w:t>
      </w:r>
      <w:r w:rsidRPr="00776209">
        <w:rPr>
          <w:rFonts w:cs="Arial"/>
          <w:szCs w:val="20"/>
          <w:lang w:val="sl-SI" w:eastAsia="sl-SI"/>
        </w:rPr>
        <w:t xml:space="preserve">, kjer se na njem izvedejo operacije oplemenitenja. Oplemeniteno blago se ponovno izvozi s carinskega območja </w:t>
      </w:r>
      <w:r w:rsidR="00040C37">
        <w:rPr>
          <w:rFonts w:cs="Arial"/>
          <w:szCs w:val="20"/>
          <w:lang w:val="sl-SI" w:eastAsia="sl-SI"/>
        </w:rPr>
        <w:t>Unije</w:t>
      </w:r>
      <w:r w:rsidRPr="00776209">
        <w:rPr>
          <w:rFonts w:cs="Arial"/>
          <w:szCs w:val="20"/>
          <w:lang w:val="sl-SI" w:eastAsia="sl-SI"/>
        </w:rPr>
        <w:t xml:space="preserve"> v obliki pridobljenih proizvodov, ne da bi bilo zavezano plačilu uvoznih dajatev ali ukrepom trgovinske politike. </w:t>
      </w:r>
    </w:p>
    <w:p w14:paraId="0A9A3D63" w14:textId="77777777" w:rsidR="00776209" w:rsidRPr="00776209" w:rsidRDefault="00776209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776209">
        <w:rPr>
          <w:rFonts w:cs="Arial"/>
          <w:szCs w:val="20"/>
          <w:lang w:val="sl-SI" w:eastAsia="sl-SI"/>
        </w:rPr>
        <w:lastRenderedPageBreak/>
        <w:t xml:space="preserve">Za izvajanje postopka je potrebno dovoljenje carinskih organov. </w:t>
      </w:r>
    </w:p>
    <w:p w14:paraId="5A31AFAB" w14:textId="77777777" w:rsidR="00776209" w:rsidRPr="00776209" w:rsidRDefault="00776209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3F2D0F82" w14:textId="35AD8812" w:rsidR="0003086F" w:rsidRDefault="004E47BB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E47BB">
        <w:rPr>
          <w:rFonts w:cs="Arial"/>
          <w:szCs w:val="20"/>
          <w:lang w:val="sl-SI" w:eastAsia="sl-SI"/>
        </w:rPr>
        <w:t xml:space="preserve">Zahtevek se vloži v elektronski obliki preko sistema CDS - </w:t>
      </w:r>
      <w:hyperlink r:id="rId16" w:history="1">
        <w:r w:rsidRPr="00C736ED">
          <w:rPr>
            <w:rStyle w:val="Hiperpovezava"/>
            <w:rFonts w:cs="Arial"/>
            <w:szCs w:val="20"/>
            <w:lang w:val="sl-SI" w:eastAsia="sl-SI"/>
          </w:rPr>
          <w:t>portal za gospodarske subjekte (TP)</w:t>
        </w:r>
      </w:hyperlink>
      <w:r w:rsidR="00776209" w:rsidRPr="00776209">
        <w:rPr>
          <w:rFonts w:cs="Arial"/>
          <w:szCs w:val="20"/>
          <w:lang w:val="sl-SI" w:eastAsia="sl-SI"/>
        </w:rPr>
        <w:t xml:space="preserve">. </w:t>
      </w:r>
    </w:p>
    <w:p w14:paraId="3EB8C6A4" w14:textId="77777777" w:rsidR="0003086F" w:rsidRDefault="0003086F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51A9684E" w14:textId="314D77A7" w:rsidR="00776209" w:rsidRPr="00776209" w:rsidRDefault="00776209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776209">
        <w:rPr>
          <w:rFonts w:eastAsia="Calibri" w:cs="Arial"/>
          <w:szCs w:val="20"/>
          <w:lang w:val="sl-SI" w:eastAsia="sl-SI"/>
        </w:rPr>
        <w:t xml:space="preserve">V </w:t>
      </w:r>
      <w:r w:rsidR="004E47BB">
        <w:rPr>
          <w:rFonts w:eastAsia="Calibri" w:cs="Arial"/>
          <w:szCs w:val="20"/>
          <w:lang w:val="sl-SI" w:eastAsia="sl-SI"/>
        </w:rPr>
        <w:t>določenih</w:t>
      </w:r>
      <w:r w:rsidRPr="00776209">
        <w:rPr>
          <w:rFonts w:eastAsia="Calibri" w:cs="Arial"/>
          <w:szCs w:val="20"/>
          <w:lang w:val="sl-SI" w:eastAsia="sl-SI"/>
        </w:rPr>
        <w:t xml:space="preserve"> primerih</w:t>
      </w:r>
      <w:r w:rsidR="004E47BB">
        <w:rPr>
          <w:rFonts w:eastAsia="Calibri" w:cs="Arial"/>
          <w:szCs w:val="20"/>
          <w:lang w:val="sl-SI" w:eastAsia="sl-SI"/>
        </w:rPr>
        <w:t xml:space="preserve"> (enkratni posli, popravila,…)</w:t>
      </w:r>
      <w:r w:rsidRPr="00776209">
        <w:rPr>
          <w:rFonts w:eastAsia="Calibri" w:cs="Arial"/>
          <w:szCs w:val="20"/>
          <w:lang w:val="sl-SI" w:eastAsia="sl-SI"/>
        </w:rPr>
        <w:t xml:space="preserve"> se lahko zahtevek vloži </w:t>
      </w:r>
      <w:r w:rsidR="00727B07">
        <w:rPr>
          <w:rFonts w:eastAsia="Calibri" w:cs="Arial"/>
          <w:szCs w:val="20"/>
          <w:lang w:val="sl-SI" w:eastAsia="sl-SI"/>
        </w:rPr>
        <w:t>na poenostavljen način</w:t>
      </w:r>
      <w:r w:rsidRPr="00776209">
        <w:rPr>
          <w:rFonts w:eastAsia="Calibri" w:cs="Arial"/>
          <w:szCs w:val="20"/>
          <w:lang w:val="sl-SI" w:eastAsia="sl-SI"/>
        </w:rPr>
        <w:t xml:space="preserve"> </w:t>
      </w:r>
      <w:r w:rsidR="004E47BB">
        <w:rPr>
          <w:rFonts w:eastAsia="Calibri" w:cs="Arial"/>
          <w:szCs w:val="20"/>
          <w:lang w:val="sl-SI" w:eastAsia="sl-SI"/>
        </w:rPr>
        <w:t>v obliki</w:t>
      </w:r>
      <w:r w:rsidRPr="00776209">
        <w:rPr>
          <w:rFonts w:eastAsia="Calibri" w:cs="Arial"/>
          <w:szCs w:val="20"/>
          <w:lang w:val="sl-SI" w:eastAsia="sl-SI"/>
        </w:rPr>
        <w:t xml:space="preserve"> carinsk</w:t>
      </w:r>
      <w:r w:rsidR="004E47BB">
        <w:rPr>
          <w:rFonts w:eastAsia="Calibri" w:cs="Arial"/>
          <w:szCs w:val="20"/>
          <w:lang w:val="sl-SI" w:eastAsia="sl-SI"/>
        </w:rPr>
        <w:t>e</w:t>
      </w:r>
      <w:r w:rsidRPr="00776209">
        <w:rPr>
          <w:rFonts w:eastAsia="Calibri" w:cs="Arial"/>
          <w:szCs w:val="20"/>
          <w:lang w:val="sl-SI" w:eastAsia="sl-SI"/>
        </w:rPr>
        <w:t xml:space="preserve"> deklaracij</w:t>
      </w:r>
      <w:r w:rsidR="004E47BB">
        <w:rPr>
          <w:rFonts w:eastAsia="Calibri" w:cs="Arial"/>
          <w:szCs w:val="20"/>
          <w:lang w:val="sl-SI" w:eastAsia="sl-SI"/>
        </w:rPr>
        <w:t>e.</w:t>
      </w:r>
      <w:r w:rsidRPr="00776209">
        <w:rPr>
          <w:rFonts w:eastAsia="Calibri" w:cs="Arial"/>
          <w:szCs w:val="20"/>
          <w:lang w:val="sl-SI" w:eastAsia="sl-SI"/>
        </w:rPr>
        <w:t xml:space="preserve"> Deklaraciji se priloži dokument z dodatnimi informacijami o operacijah oplemenitenja.</w:t>
      </w:r>
    </w:p>
    <w:p w14:paraId="6B13534C" w14:textId="77777777" w:rsidR="00776209" w:rsidRPr="00776209" w:rsidRDefault="00776209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5F6F7814" w14:textId="3D55A090" w:rsidR="00776209" w:rsidRPr="00DD0934" w:rsidRDefault="00776209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776209">
        <w:rPr>
          <w:rFonts w:cs="Arial"/>
          <w:szCs w:val="20"/>
          <w:lang w:val="sl-SI" w:eastAsia="sl-SI"/>
        </w:rPr>
        <w:t xml:space="preserve">Postopek aktivnega oplemenitenja je podrobneje opisan v </w:t>
      </w:r>
      <w:r w:rsidRPr="00DD0934">
        <w:rPr>
          <w:rFonts w:cs="Arial"/>
          <w:szCs w:val="20"/>
          <w:lang w:val="sl-SI" w:eastAsia="sl-SI"/>
        </w:rPr>
        <w:t xml:space="preserve">Navodilu o izvajanju postopka aktivnega </w:t>
      </w:r>
      <w:r w:rsidRPr="00A47789">
        <w:rPr>
          <w:rFonts w:cs="Arial"/>
          <w:szCs w:val="20"/>
          <w:lang w:val="sl-SI" w:eastAsia="sl-SI"/>
        </w:rPr>
        <w:t>oplemenitenja.</w:t>
      </w:r>
      <w:r w:rsidRPr="00DD0934">
        <w:rPr>
          <w:rFonts w:cs="Arial"/>
          <w:szCs w:val="20"/>
          <w:lang w:val="sl-SI" w:eastAsia="sl-SI"/>
        </w:rPr>
        <w:t xml:space="preserve"> </w:t>
      </w:r>
    </w:p>
    <w:p w14:paraId="525E7FA4" w14:textId="77777777" w:rsidR="008B67F7" w:rsidRDefault="008B67F7" w:rsidP="00746C46">
      <w:pPr>
        <w:spacing w:line="260" w:lineRule="exact"/>
        <w:jc w:val="both"/>
        <w:rPr>
          <w:rFonts w:cs="Arial"/>
          <w:color w:val="0070C0"/>
          <w:u w:val="single"/>
          <w:lang w:val="sl-SI"/>
        </w:rPr>
      </w:pPr>
    </w:p>
    <w:p w14:paraId="6FF59AE0" w14:textId="77777777" w:rsidR="002A3E4B" w:rsidRPr="00A1564E" w:rsidRDefault="002A3E4B" w:rsidP="00746C46">
      <w:pPr>
        <w:spacing w:line="260" w:lineRule="exact"/>
        <w:jc w:val="both"/>
        <w:rPr>
          <w:rFonts w:cs="Arial"/>
          <w:color w:val="0070C0"/>
          <w:u w:val="single"/>
          <w:lang w:val="sl-SI"/>
        </w:rPr>
      </w:pPr>
    </w:p>
    <w:p w14:paraId="0E539165" w14:textId="77777777" w:rsidR="008B67F7" w:rsidRPr="008B67F7" w:rsidRDefault="008B67F7" w:rsidP="00746C46">
      <w:pPr>
        <w:pStyle w:val="FURSnaslov2"/>
        <w:spacing w:line="260" w:lineRule="exact"/>
      </w:pPr>
      <w:bookmarkStart w:id="4" w:name="_Toc127349319"/>
      <w:r w:rsidRPr="008B67F7">
        <w:t>1.</w:t>
      </w:r>
      <w:r w:rsidRPr="00776209">
        <w:t>5</w:t>
      </w:r>
      <w:r w:rsidR="00904114">
        <w:t xml:space="preserve"> </w:t>
      </w:r>
      <w:r w:rsidRPr="008B67F7">
        <w:t xml:space="preserve"> </w:t>
      </w:r>
      <w:r w:rsidR="00776209" w:rsidRPr="00776209">
        <w:t>Carinsko skladiščenje</w:t>
      </w:r>
      <w:bookmarkEnd w:id="4"/>
    </w:p>
    <w:p w14:paraId="36FD88DD" w14:textId="77777777" w:rsidR="008B67F7" w:rsidRPr="00776209" w:rsidRDefault="008B67F7" w:rsidP="00746C46">
      <w:pPr>
        <w:spacing w:line="260" w:lineRule="exact"/>
        <w:jc w:val="both"/>
        <w:rPr>
          <w:rFonts w:cs="Arial"/>
          <w:lang w:val="sl-SI"/>
        </w:rPr>
      </w:pPr>
    </w:p>
    <w:p w14:paraId="37785077" w14:textId="77777777" w:rsidR="00EE3D94" w:rsidRPr="00EE3D94" w:rsidRDefault="00EE3D9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D94">
        <w:rPr>
          <w:rFonts w:cs="Arial"/>
          <w:szCs w:val="20"/>
          <w:lang w:val="sl-SI" w:eastAsia="sl-SI"/>
        </w:rPr>
        <w:t xml:space="preserve">Postopek carinskega skladiščenja omogoča skladiščenje: </w:t>
      </w:r>
    </w:p>
    <w:p w14:paraId="1DB3B854" w14:textId="77777777" w:rsidR="00EE3D94" w:rsidRPr="00EE3D94" w:rsidRDefault="00EE3D94" w:rsidP="00746C46">
      <w:pPr>
        <w:numPr>
          <w:ilvl w:val="0"/>
          <w:numId w:val="9"/>
        </w:numPr>
        <w:spacing w:after="100" w:afterAutospacing="1" w:line="260" w:lineRule="exact"/>
        <w:ind w:left="714" w:hanging="357"/>
        <w:jc w:val="both"/>
        <w:rPr>
          <w:rFonts w:cs="Arial"/>
          <w:szCs w:val="20"/>
          <w:lang w:val="sl-SI" w:eastAsia="sl-SI"/>
        </w:rPr>
      </w:pPr>
      <w:r w:rsidRPr="00EE3D94">
        <w:rPr>
          <w:rFonts w:cs="Arial"/>
          <w:szCs w:val="20"/>
          <w:lang w:val="sl-SI" w:eastAsia="sl-SI"/>
        </w:rPr>
        <w:t>ne</w:t>
      </w:r>
      <w:r w:rsidR="00040C37">
        <w:rPr>
          <w:rFonts w:cs="Arial"/>
          <w:szCs w:val="20"/>
          <w:lang w:val="sl-SI" w:eastAsia="sl-SI"/>
        </w:rPr>
        <w:t>unijsk</w:t>
      </w:r>
      <w:r w:rsidR="00111B0D">
        <w:rPr>
          <w:rFonts w:cs="Arial"/>
          <w:szCs w:val="20"/>
          <w:lang w:val="sl-SI" w:eastAsia="sl-SI"/>
        </w:rPr>
        <w:t>ega blaga</w:t>
      </w:r>
      <w:r w:rsidRPr="00EE3D94">
        <w:rPr>
          <w:rFonts w:cs="Arial"/>
          <w:szCs w:val="20"/>
          <w:lang w:val="sl-SI" w:eastAsia="sl-SI"/>
        </w:rPr>
        <w:t>, ne da bi bilo to blago zavezano plačilu uvoznih dajatev ali ukrepom trgovinske politike;</w:t>
      </w:r>
    </w:p>
    <w:p w14:paraId="12B332DA" w14:textId="77777777" w:rsidR="00EE3D94" w:rsidRPr="00EE3D94" w:rsidRDefault="00040C37" w:rsidP="00746C46">
      <w:pPr>
        <w:numPr>
          <w:ilvl w:val="0"/>
          <w:numId w:val="9"/>
        </w:numPr>
        <w:spacing w:after="200" w:line="260" w:lineRule="exact"/>
        <w:ind w:left="714" w:hanging="357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unijsk</w:t>
      </w:r>
      <w:r w:rsidR="00111B0D">
        <w:rPr>
          <w:rFonts w:cs="Arial"/>
          <w:szCs w:val="20"/>
          <w:lang w:val="sl-SI" w:eastAsia="sl-SI"/>
        </w:rPr>
        <w:t>ega</w:t>
      </w:r>
      <w:r w:rsidR="00EE3D94" w:rsidRPr="00EE3D94">
        <w:rPr>
          <w:rFonts w:cs="Arial"/>
          <w:szCs w:val="20"/>
          <w:lang w:val="sl-SI" w:eastAsia="sl-SI"/>
        </w:rPr>
        <w:t xml:space="preserve"> blag</w:t>
      </w:r>
      <w:r w:rsidR="00111B0D">
        <w:rPr>
          <w:rFonts w:cs="Arial"/>
          <w:szCs w:val="20"/>
          <w:lang w:val="sl-SI" w:eastAsia="sl-SI"/>
        </w:rPr>
        <w:t>a</w:t>
      </w:r>
      <w:r w:rsidR="00EE3D94" w:rsidRPr="00EE3D94">
        <w:rPr>
          <w:rFonts w:cs="Arial"/>
          <w:szCs w:val="20"/>
          <w:lang w:val="sl-SI" w:eastAsia="sl-SI"/>
        </w:rPr>
        <w:t xml:space="preserve">, kadar zakonodaja </w:t>
      </w:r>
      <w:r>
        <w:rPr>
          <w:rFonts w:cs="Arial"/>
          <w:szCs w:val="20"/>
          <w:lang w:val="sl-SI" w:eastAsia="sl-SI"/>
        </w:rPr>
        <w:t>Unije</w:t>
      </w:r>
      <w:r w:rsidR="00EE3D94" w:rsidRPr="00EE3D94">
        <w:rPr>
          <w:rFonts w:cs="Arial"/>
          <w:szCs w:val="20"/>
          <w:lang w:val="sl-SI" w:eastAsia="sl-SI"/>
        </w:rPr>
        <w:t>, ki ureja posebna področja, predvideva, da je vnos tega blaga v carinsko skladišče povezan z izvajanjem ukrepov, k</w:t>
      </w:r>
      <w:r w:rsidR="00111B0D">
        <w:rPr>
          <w:rFonts w:cs="Arial"/>
          <w:szCs w:val="20"/>
          <w:lang w:val="sl-SI" w:eastAsia="sl-SI"/>
        </w:rPr>
        <w:t>i</w:t>
      </w:r>
      <w:r w:rsidR="00EE3D94" w:rsidRPr="00EE3D94">
        <w:rPr>
          <w:rFonts w:cs="Arial"/>
          <w:szCs w:val="20"/>
          <w:lang w:val="sl-SI" w:eastAsia="sl-SI"/>
        </w:rPr>
        <w:t xml:space="preserve"> so običajn</w:t>
      </w:r>
      <w:r w:rsidR="00111B0D">
        <w:rPr>
          <w:rFonts w:cs="Arial"/>
          <w:szCs w:val="20"/>
          <w:lang w:val="sl-SI" w:eastAsia="sl-SI"/>
        </w:rPr>
        <w:t>i</w:t>
      </w:r>
      <w:r w:rsidR="00EE3D94" w:rsidRPr="00EE3D94">
        <w:rPr>
          <w:rFonts w:cs="Arial"/>
          <w:szCs w:val="20"/>
          <w:lang w:val="sl-SI" w:eastAsia="sl-SI"/>
        </w:rPr>
        <w:t xml:space="preserve"> </w:t>
      </w:r>
      <w:r w:rsidR="00111B0D">
        <w:rPr>
          <w:rFonts w:cs="Arial"/>
          <w:szCs w:val="20"/>
          <w:lang w:val="sl-SI" w:eastAsia="sl-SI"/>
        </w:rPr>
        <w:t>pri</w:t>
      </w:r>
      <w:r w:rsidR="00EE3D94" w:rsidRPr="00EE3D94">
        <w:rPr>
          <w:rFonts w:cs="Arial"/>
          <w:szCs w:val="20"/>
          <w:lang w:val="sl-SI" w:eastAsia="sl-SI"/>
        </w:rPr>
        <w:t xml:space="preserve"> izvoz</w:t>
      </w:r>
      <w:r w:rsidR="00111B0D">
        <w:rPr>
          <w:rFonts w:cs="Arial"/>
          <w:szCs w:val="20"/>
          <w:lang w:val="sl-SI" w:eastAsia="sl-SI"/>
        </w:rPr>
        <w:t>u</w:t>
      </w:r>
      <w:r w:rsidR="00EE3D94" w:rsidRPr="00EE3D94">
        <w:rPr>
          <w:rFonts w:cs="Arial"/>
          <w:szCs w:val="20"/>
          <w:lang w:val="sl-SI" w:eastAsia="sl-SI"/>
        </w:rPr>
        <w:t xml:space="preserve"> blaga. </w:t>
      </w:r>
    </w:p>
    <w:p w14:paraId="7FB2A1D8" w14:textId="77777777" w:rsidR="00EE3D94" w:rsidRPr="00EE3D94" w:rsidRDefault="00EE3D9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Za u</w:t>
      </w:r>
      <w:r w:rsidRPr="00EE3D94">
        <w:rPr>
          <w:rFonts w:cs="Arial"/>
          <w:szCs w:val="20"/>
          <w:lang w:val="sl-SI" w:eastAsia="sl-SI"/>
        </w:rPr>
        <w:t>pravljanje</w:t>
      </w:r>
      <w:r>
        <w:rPr>
          <w:rFonts w:cs="Arial"/>
          <w:szCs w:val="20"/>
          <w:lang w:val="sl-SI" w:eastAsia="sl-SI"/>
        </w:rPr>
        <w:t xml:space="preserve"> in vodenje</w:t>
      </w:r>
      <w:r w:rsidRPr="00EE3D94">
        <w:rPr>
          <w:rFonts w:cs="Arial"/>
          <w:szCs w:val="20"/>
          <w:lang w:val="sl-SI" w:eastAsia="sl-SI"/>
        </w:rPr>
        <w:t xml:space="preserve"> carinskega skladišča je po</w:t>
      </w:r>
      <w:r>
        <w:rPr>
          <w:rFonts w:cs="Arial"/>
          <w:szCs w:val="20"/>
          <w:lang w:val="sl-SI" w:eastAsia="sl-SI"/>
        </w:rPr>
        <w:t>trebno</w:t>
      </w:r>
      <w:r w:rsidRPr="00EE3D94">
        <w:rPr>
          <w:rFonts w:cs="Arial"/>
          <w:szCs w:val="20"/>
          <w:lang w:val="sl-SI" w:eastAsia="sl-SI"/>
        </w:rPr>
        <w:t xml:space="preserve"> dovoljenje</w:t>
      </w:r>
      <w:r>
        <w:rPr>
          <w:rFonts w:cs="Arial"/>
          <w:szCs w:val="20"/>
          <w:lang w:val="sl-SI" w:eastAsia="sl-SI"/>
        </w:rPr>
        <w:t xml:space="preserve"> </w:t>
      </w:r>
      <w:r w:rsidRPr="00EE3D94">
        <w:rPr>
          <w:rFonts w:cs="Arial"/>
          <w:szCs w:val="20"/>
          <w:lang w:val="sl-SI" w:eastAsia="sl-SI"/>
        </w:rPr>
        <w:t>carinsk</w:t>
      </w:r>
      <w:r>
        <w:rPr>
          <w:rFonts w:cs="Arial"/>
          <w:szCs w:val="20"/>
          <w:lang w:val="sl-SI" w:eastAsia="sl-SI"/>
        </w:rPr>
        <w:t>ega</w:t>
      </w:r>
      <w:r w:rsidRPr="00EE3D94">
        <w:rPr>
          <w:rFonts w:cs="Arial"/>
          <w:szCs w:val="20"/>
          <w:lang w:val="sl-SI" w:eastAsia="sl-SI"/>
        </w:rPr>
        <w:t xml:space="preserve"> organ</w:t>
      </w:r>
      <w:r>
        <w:rPr>
          <w:rFonts w:cs="Arial"/>
          <w:szCs w:val="20"/>
          <w:lang w:val="sl-SI" w:eastAsia="sl-SI"/>
        </w:rPr>
        <w:t>a</w:t>
      </w:r>
      <w:r w:rsidRPr="00EE3D94">
        <w:rPr>
          <w:rFonts w:cs="Arial"/>
          <w:szCs w:val="20"/>
          <w:lang w:val="sl-SI" w:eastAsia="sl-SI"/>
        </w:rPr>
        <w:t>.</w:t>
      </w:r>
    </w:p>
    <w:p w14:paraId="02F7D4B5" w14:textId="77777777" w:rsidR="00EE3D94" w:rsidRPr="00EE3D94" w:rsidRDefault="00EE3D9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D94">
        <w:rPr>
          <w:rFonts w:cs="Arial"/>
          <w:szCs w:val="20"/>
          <w:lang w:val="sl-SI" w:eastAsia="sl-SI"/>
        </w:rPr>
        <w:t> </w:t>
      </w:r>
    </w:p>
    <w:p w14:paraId="78A7D355" w14:textId="2B37E6FA" w:rsidR="00EE3D94" w:rsidRPr="00A47789" w:rsidRDefault="008D67AC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bookmarkStart w:id="5" w:name="c13180"/>
      <w:bookmarkStart w:id="6" w:name="_Hlk134527449"/>
      <w:bookmarkEnd w:id="5"/>
      <w:r w:rsidRPr="008D67AC">
        <w:rPr>
          <w:rFonts w:cs="Arial"/>
          <w:szCs w:val="20"/>
          <w:lang w:val="sl-SI" w:eastAsia="sl-SI"/>
        </w:rPr>
        <w:t xml:space="preserve">Zahtevek se vloži v elektronski obliki </w:t>
      </w:r>
      <w:r w:rsidRPr="008D67AC">
        <w:rPr>
          <w:rFonts w:cs="Arial"/>
          <w:color w:val="212529"/>
          <w:szCs w:val="20"/>
          <w:shd w:val="clear" w:color="auto" w:fill="FFFFFF"/>
          <w:lang w:val="sl-SI" w:eastAsia="sl-SI"/>
        </w:rPr>
        <w:t xml:space="preserve">preko sistema CDS - </w:t>
      </w:r>
      <w:hyperlink r:id="rId17" w:history="1">
        <w:r w:rsidRPr="008D67AC">
          <w:rPr>
            <w:rStyle w:val="Hiperpovezava"/>
            <w:rFonts w:cs="Arial"/>
            <w:szCs w:val="20"/>
            <w:shd w:val="clear" w:color="auto" w:fill="FFFFFF"/>
            <w:lang w:val="sl-SI" w:eastAsia="sl-SI"/>
          </w:rPr>
          <w:t>portal za gospodarske subjekte (TP)</w:t>
        </w:r>
      </w:hyperlink>
      <w:r w:rsidRPr="008D67AC">
        <w:rPr>
          <w:rFonts w:cs="Arial"/>
          <w:color w:val="212529"/>
          <w:szCs w:val="20"/>
          <w:shd w:val="clear" w:color="auto" w:fill="FFFFFF"/>
          <w:lang w:val="sl-SI" w:eastAsia="sl-SI"/>
        </w:rPr>
        <w:t xml:space="preserve">, pri carinskem organu </w:t>
      </w:r>
      <w:bookmarkEnd w:id="6"/>
      <w:r w:rsidRPr="008D67AC">
        <w:rPr>
          <w:rFonts w:cs="Arial"/>
          <w:szCs w:val="20"/>
          <w:lang w:val="sl-SI" w:eastAsia="sl-SI"/>
        </w:rPr>
        <w:t>pristojnem za kraj, kjer se vodi oz. je dostopna glavna računovodska evidenca vložnika za carinske namene in v katerem se bo izvajal vsaj del dejavnosti, ki bodo zajete v dovoljenju (tj. finančni urad, pristojen za kraj, kjer se nahaja carinsko skladišče).</w:t>
      </w:r>
    </w:p>
    <w:p w14:paraId="59634AD5" w14:textId="77777777" w:rsidR="00EE3D94" w:rsidRPr="00A47789" w:rsidRDefault="00EE3D9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A47789">
        <w:rPr>
          <w:rFonts w:cs="Arial"/>
          <w:szCs w:val="20"/>
          <w:lang w:val="sl-SI" w:eastAsia="sl-SI"/>
        </w:rPr>
        <w:t> </w:t>
      </w:r>
    </w:p>
    <w:p w14:paraId="513AADF6" w14:textId="7D2013F1" w:rsidR="00EE3D94" w:rsidRPr="00B51820" w:rsidRDefault="00EE3D9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A47789">
        <w:rPr>
          <w:rFonts w:cs="Arial"/>
          <w:szCs w:val="20"/>
          <w:lang w:val="sl-SI" w:eastAsia="sl-SI"/>
        </w:rPr>
        <w:t xml:space="preserve">Postopek carinskega skladiščenja je podrobneje opisan v </w:t>
      </w:r>
      <w:r w:rsidR="00F62F36" w:rsidRPr="00A47789">
        <w:rPr>
          <w:rFonts w:cs="Arial"/>
          <w:szCs w:val="20"/>
          <w:lang w:val="sl-SI" w:eastAsia="sl-SI"/>
        </w:rPr>
        <w:t xml:space="preserve">Navodilu o izvajanju postopka </w:t>
      </w:r>
      <w:r w:rsidRPr="00A47789">
        <w:rPr>
          <w:rFonts w:cs="Arial"/>
          <w:szCs w:val="20"/>
          <w:lang w:val="sl-SI" w:eastAsia="sl-SI"/>
        </w:rPr>
        <w:t>carinske</w:t>
      </w:r>
      <w:r w:rsidR="00F62F36" w:rsidRPr="00A47789">
        <w:rPr>
          <w:rFonts w:cs="Arial"/>
          <w:szCs w:val="20"/>
          <w:lang w:val="sl-SI" w:eastAsia="sl-SI"/>
        </w:rPr>
        <w:t>ga</w:t>
      </w:r>
      <w:r w:rsidRPr="00A47789">
        <w:rPr>
          <w:rFonts w:cs="Arial"/>
          <w:szCs w:val="20"/>
          <w:lang w:val="sl-SI" w:eastAsia="sl-SI"/>
        </w:rPr>
        <w:t xml:space="preserve"> skladišče</w:t>
      </w:r>
      <w:r w:rsidR="00F62F36" w:rsidRPr="00A47789">
        <w:rPr>
          <w:rFonts w:cs="Arial"/>
          <w:szCs w:val="20"/>
          <w:lang w:val="sl-SI" w:eastAsia="sl-SI"/>
        </w:rPr>
        <w:t>nja</w:t>
      </w:r>
      <w:r w:rsidRPr="00A47789">
        <w:rPr>
          <w:rFonts w:cs="Arial"/>
          <w:szCs w:val="20"/>
          <w:lang w:val="sl-SI" w:eastAsia="sl-SI"/>
        </w:rPr>
        <w:t>.</w:t>
      </w:r>
      <w:r w:rsidRPr="00B51820">
        <w:rPr>
          <w:rFonts w:cs="Arial"/>
          <w:szCs w:val="20"/>
          <w:lang w:val="sl-SI" w:eastAsia="sl-SI"/>
        </w:rPr>
        <w:t xml:space="preserve"> </w:t>
      </w:r>
    </w:p>
    <w:p w14:paraId="53309560" w14:textId="22B95201" w:rsidR="008B67F7" w:rsidRDefault="00D12543" w:rsidP="00746C46">
      <w:pPr>
        <w:spacing w:line="260" w:lineRule="exact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 </w:t>
      </w:r>
    </w:p>
    <w:p w14:paraId="03F0A3F7" w14:textId="77777777" w:rsidR="002A3E4B" w:rsidRPr="00B51820" w:rsidRDefault="002A3E4B" w:rsidP="00746C46">
      <w:pPr>
        <w:spacing w:line="260" w:lineRule="exact"/>
        <w:jc w:val="both"/>
        <w:rPr>
          <w:rFonts w:cs="Arial"/>
          <w:lang w:val="sl-SI"/>
        </w:rPr>
      </w:pPr>
    </w:p>
    <w:p w14:paraId="09DF6A02" w14:textId="77777777" w:rsidR="008B67F7" w:rsidRPr="00B51820" w:rsidRDefault="008B67F7" w:rsidP="00746C46">
      <w:pPr>
        <w:pStyle w:val="FURSnaslov2"/>
        <w:spacing w:line="260" w:lineRule="exact"/>
      </w:pPr>
      <w:bookmarkStart w:id="7" w:name="_Toc127349320"/>
      <w:r w:rsidRPr="00B51820">
        <w:t xml:space="preserve">1.6 </w:t>
      </w:r>
      <w:r w:rsidR="00904114" w:rsidRPr="00B51820">
        <w:t xml:space="preserve"> Začasni uvoz</w:t>
      </w:r>
      <w:bookmarkEnd w:id="7"/>
    </w:p>
    <w:p w14:paraId="5AF271F1" w14:textId="77777777" w:rsidR="008B67F7" w:rsidRPr="00776209" w:rsidRDefault="008B67F7" w:rsidP="00746C46">
      <w:pPr>
        <w:spacing w:line="260" w:lineRule="exact"/>
        <w:jc w:val="both"/>
        <w:rPr>
          <w:rFonts w:cs="Arial"/>
          <w:lang w:val="sl-SI"/>
        </w:rPr>
      </w:pPr>
    </w:p>
    <w:p w14:paraId="220A12A1" w14:textId="77777777" w:rsidR="00904114" w:rsidRPr="00904114" w:rsidRDefault="0090411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904114">
        <w:rPr>
          <w:rFonts w:cs="Arial"/>
          <w:szCs w:val="20"/>
          <w:lang w:val="sl-SI" w:eastAsia="sl-SI"/>
        </w:rPr>
        <w:t>Postopek začasnega uvoza omogoča, da se ne</w:t>
      </w:r>
      <w:r w:rsidR="00040C37">
        <w:rPr>
          <w:rFonts w:cs="Arial"/>
          <w:szCs w:val="20"/>
          <w:lang w:val="sl-SI" w:eastAsia="sl-SI"/>
        </w:rPr>
        <w:t>unijsko</w:t>
      </w:r>
      <w:r w:rsidRPr="00904114">
        <w:rPr>
          <w:rFonts w:cs="Arial"/>
          <w:szCs w:val="20"/>
          <w:lang w:val="sl-SI" w:eastAsia="sl-SI"/>
        </w:rPr>
        <w:t xml:space="preserve"> blago uporablja na carinskem območju </w:t>
      </w:r>
      <w:r w:rsidR="00111B0D">
        <w:rPr>
          <w:rFonts w:cs="Arial"/>
          <w:szCs w:val="20"/>
          <w:lang w:val="sl-SI" w:eastAsia="sl-SI"/>
        </w:rPr>
        <w:t>Unije</w:t>
      </w:r>
      <w:r w:rsidRPr="00904114">
        <w:rPr>
          <w:rFonts w:cs="Arial"/>
          <w:szCs w:val="20"/>
          <w:lang w:val="sl-SI" w:eastAsia="sl-SI"/>
        </w:rPr>
        <w:t xml:space="preserve"> s popolno ali delno oprostitvijo uvoznih dajatev</w:t>
      </w:r>
      <w:r w:rsidR="00111B0D">
        <w:rPr>
          <w:rFonts w:cs="Arial"/>
          <w:szCs w:val="20"/>
          <w:lang w:val="sl-SI" w:eastAsia="sl-SI"/>
        </w:rPr>
        <w:t>,</w:t>
      </w:r>
      <w:r w:rsidRPr="00904114">
        <w:rPr>
          <w:rFonts w:cs="Arial"/>
          <w:szCs w:val="20"/>
          <w:lang w:val="sl-SI" w:eastAsia="sl-SI"/>
        </w:rPr>
        <w:t xml:space="preserve"> ne da bi bilo predmet trgovinske politike. Začasno uvoženo blago se mora po uporabi ponovno izvoziti</w:t>
      </w:r>
      <w:r w:rsidR="00111B0D">
        <w:rPr>
          <w:rFonts w:cs="Arial"/>
          <w:szCs w:val="20"/>
          <w:lang w:val="sl-SI" w:eastAsia="sl-SI"/>
        </w:rPr>
        <w:t>,</w:t>
      </w:r>
      <w:r w:rsidRPr="00904114">
        <w:rPr>
          <w:rFonts w:cs="Arial"/>
          <w:szCs w:val="20"/>
          <w:lang w:val="sl-SI" w:eastAsia="sl-SI"/>
        </w:rPr>
        <w:t xml:space="preserve"> in sicer v enakem stanju</w:t>
      </w:r>
      <w:r w:rsidR="00111B0D">
        <w:rPr>
          <w:rFonts w:cs="Arial"/>
          <w:szCs w:val="20"/>
          <w:lang w:val="sl-SI" w:eastAsia="sl-SI"/>
        </w:rPr>
        <w:t>,</w:t>
      </w:r>
      <w:r w:rsidRPr="00904114">
        <w:rPr>
          <w:rFonts w:cs="Arial"/>
          <w:szCs w:val="20"/>
          <w:lang w:val="sl-SI" w:eastAsia="sl-SI"/>
        </w:rPr>
        <w:t xml:space="preserve"> kot je bilo uvoženo. </w:t>
      </w:r>
    </w:p>
    <w:p w14:paraId="7779696D" w14:textId="77777777" w:rsidR="00904114" w:rsidRPr="00904114" w:rsidRDefault="0090411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07CE6A9F" w14:textId="6555CC70" w:rsidR="00904114" w:rsidRPr="00904114" w:rsidRDefault="0090411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904114">
        <w:rPr>
          <w:rFonts w:cs="Arial"/>
          <w:szCs w:val="20"/>
          <w:lang w:val="sl-SI" w:eastAsia="sl-SI"/>
        </w:rPr>
        <w:t xml:space="preserve">Za izvajanje postopka je potrebno dovoljenje carinskih organov. </w:t>
      </w:r>
      <w:r w:rsidR="008D67AC">
        <w:rPr>
          <w:rFonts w:cs="Arial"/>
          <w:szCs w:val="20"/>
          <w:lang w:val="sl-SI" w:eastAsia="sl-SI"/>
        </w:rPr>
        <w:t>Pri začasnem uvozu se z</w:t>
      </w:r>
      <w:r w:rsidR="008D67AC" w:rsidRPr="00904114">
        <w:rPr>
          <w:rFonts w:cs="Arial"/>
          <w:szCs w:val="20"/>
          <w:lang w:val="sl-SI" w:eastAsia="sl-SI"/>
        </w:rPr>
        <w:t xml:space="preserve">ahtevek </w:t>
      </w:r>
      <w:r w:rsidR="008D67AC">
        <w:rPr>
          <w:rFonts w:cs="Arial"/>
          <w:szCs w:val="20"/>
          <w:lang w:val="sl-SI" w:eastAsia="sl-SI"/>
        </w:rPr>
        <w:t>praviloma vloži na poenostavljen način v obliki carinske deklaracije.</w:t>
      </w:r>
      <w:r w:rsidR="00F900BC">
        <w:rPr>
          <w:rFonts w:cs="Arial"/>
          <w:szCs w:val="20"/>
          <w:lang w:val="sl-SI" w:eastAsia="sl-SI"/>
        </w:rPr>
        <w:t xml:space="preserve"> </w:t>
      </w:r>
    </w:p>
    <w:p w14:paraId="14DCF828" w14:textId="77777777" w:rsidR="00904114" w:rsidRPr="00904114" w:rsidRDefault="0090411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7C28D851" w14:textId="77777777" w:rsidR="00904114" w:rsidRDefault="00904114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904114">
        <w:rPr>
          <w:rFonts w:cs="Arial"/>
          <w:szCs w:val="20"/>
          <w:lang w:val="sl-SI" w:eastAsia="sl-SI"/>
        </w:rPr>
        <w:t xml:space="preserve">Zahtevek za izdajo dovoljenja za carinski postopek začasnega uvoza se vloži pri carinskem organu, pristojnem za kraj, kjer se bo blago uporabljalo. Izjema je pri začasnem uvozu z zvezkom ATA/CPD, kjer se zvezek praviloma predloži pri carinskem uradu vstopa na carinsko območje </w:t>
      </w:r>
      <w:r w:rsidR="00040C37">
        <w:rPr>
          <w:rFonts w:cs="Arial"/>
          <w:szCs w:val="20"/>
          <w:lang w:val="sl-SI" w:eastAsia="sl-SI"/>
        </w:rPr>
        <w:t>Unije.</w:t>
      </w:r>
    </w:p>
    <w:p w14:paraId="45FF87B2" w14:textId="77777777" w:rsidR="00040C37" w:rsidRPr="00904114" w:rsidRDefault="00040C37" w:rsidP="00746C46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339D6361" w14:textId="05B15A0A" w:rsidR="00772253" w:rsidRDefault="00904114" w:rsidP="00982D31">
      <w:pPr>
        <w:spacing w:line="260" w:lineRule="exact"/>
        <w:jc w:val="both"/>
        <w:rPr>
          <w:lang w:val="sl-SI"/>
        </w:rPr>
      </w:pPr>
      <w:r w:rsidRPr="00A47789">
        <w:rPr>
          <w:rFonts w:cs="Arial"/>
          <w:szCs w:val="20"/>
          <w:lang w:val="sl-SI" w:eastAsia="sl-SI"/>
        </w:rPr>
        <w:t>Postopek začasnega uvoza je podrobneje opisan v Navodilu o izvajanju postopka začasnega uvoza</w:t>
      </w:r>
      <w:r w:rsidR="00B51820" w:rsidRPr="00A47789">
        <w:rPr>
          <w:rFonts w:cs="Arial"/>
          <w:szCs w:val="20"/>
          <w:lang w:val="sl-SI" w:eastAsia="sl-SI"/>
        </w:rPr>
        <w:t>.</w:t>
      </w:r>
    </w:p>
    <w:sectPr w:rsidR="00772253" w:rsidSect="00783310">
      <w:headerReference w:type="default" r:id="rId18"/>
      <w:footerReference w:type="default" r:id="rId19"/>
      <w:headerReference w:type="first" r:id="rId20"/>
      <w:footerReference w:type="first" r:id="rId2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1FC0" w14:textId="77777777" w:rsidR="00281E9A" w:rsidRDefault="00281E9A">
      <w:r>
        <w:separator/>
      </w:r>
    </w:p>
  </w:endnote>
  <w:endnote w:type="continuationSeparator" w:id="0">
    <w:p w14:paraId="0F59705F" w14:textId="77777777" w:rsidR="00281E9A" w:rsidRDefault="002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2301" w14:textId="77777777" w:rsidR="002B2A5B" w:rsidRDefault="002B2A5B" w:rsidP="009F30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A47789" w:rsidRPr="00A47789">
      <w:rPr>
        <w:noProof/>
        <w:lang w:val="sl-S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2ACF" w14:textId="77777777" w:rsidR="002B2A5B" w:rsidRDefault="002B2A5B" w:rsidP="00751D3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D2E8" w14:textId="77777777" w:rsidR="00281E9A" w:rsidRDefault="00281E9A">
      <w:r>
        <w:separator/>
      </w:r>
    </w:p>
  </w:footnote>
  <w:footnote w:type="continuationSeparator" w:id="0">
    <w:p w14:paraId="0B6BF9E9" w14:textId="77777777" w:rsidR="00281E9A" w:rsidRDefault="002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E838" w14:textId="77777777" w:rsidR="002B2A5B" w:rsidRPr="00110CBD" w:rsidRDefault="002B2A5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B2A5B" w:rsidRPr="008F3500" w14:paraId="0BA2367D" w14:textId="77777777">
      <w:trPr>
        <w:cantSplit/>
        <w:trHeight w:hRule="exact" w:val="847"/>
      </w:trPr>
      <w:tc>
        <w:tcPr>
          <w:tcW w:w="567" w:type="dxa"/>
        </w:tcPr>
        <w:p w14:paraId="1AD64A51" w14:textId="77777777" w:rsidR="002B2A5B" w:rsidRDefault="002B2A5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29EDCEA2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31CE216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1A398A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1E2AEA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612D4C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A1391BB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BCA7398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C1850F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1A4739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2B2713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870E25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C36803A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1E2024B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67ECD31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9929164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E072D6" w14:textId="77777777" w:rsidR="002B2A5B" w:rsidRPr="006D42D9" w:rsidRDefault="002B2A5B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69111C78" w14:textId="7FD7F55D" w:rsidR="002B2A5B" w:rsidRPr="008F3500" w:rsidRDefault="002B2A5B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507E173C" w14:textId="77777777" w:rsidR="002B2A5B" w:rsidRPr="008F3500" w:rsidRDefault="002B2A5B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14:paraId="104E4B5E" w14:textId="77777777" w:rsidR="002B2A5B" w:rsidRDefault="002B2A5B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14:paraId="26ADFE36" w14:textId="77777777" w:rsidR="002B2A5B" w:rsidRPr="008F3500" w:rsidRDefault="002B2A5B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Šmartinska cesta 55, p.</w:t>
    </w:r>
    <w:r w:rsidR="00111B0D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p.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7BFE25C5" w14:textId="77777777" w:rsidR="002B2A5B" w:rsidRPr="008F3500" w:rsidRDefault="002B2A5B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01 478 39 00</w:t>
    </w:r>
    <w:r w:rsidRPr="008F3500">
      <w:rPr>
        <w:rFonts w:cs="Arial"/>
        <w:sz w:val="16"/>
        <w:lang w:val="sl-SI"/>
      </w:rPr>
      <w:t xml:space="preserve"> </w:t>
    </w:r>
  </w:p>
  <w:p w14:paraId="5FFBF3B2" w14:textId="77777777" w:rsidR="002B2A5B" w:rsidRPr="008F3500" w:rsidRDefault="002B2A5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5FC0DAB0" w14:textId="77777777" w:rsidR="002B2A5B" w:rsidRPr="008F3500" w:rsidRDefault="002B2A5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049288C7" w14:textId="77777777" w:rsidR="002B2A5B" w:rsidRPr="008F3500" w:rsidRDefault="002B2A5B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481C91"/>
    <w:multiLevelType w:val="multilevel"/>
    <w:tmpl w:val="3F2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03237"/>
    <w:multiLevelType w:val="hybridMultilevel"/>
    <w:tmpl w:val="2DAC7EB6"/>
    <w:lvl w:ilvl="0" w:tplc="0908D1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F07"/>
    <w:multiLevelType w:val="multilevel"/>
    <w:tmpl w:val="4E9C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1156B"/>
    <w:multiLevelType w:val="multilevel"/>
    <w:tmpl w:val="ACBA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E6279"/>
    <w:multiLevelType w:val="multilevel"/>
    <w:tmpl w:val="07D4B0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4B5C83"/>
    <w:multiLevelType w:val="multilevel"/>
    <w:tmpl w:val="8F0C20C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F76A47"/>
    <w:multiLevelType w:val="hybridMultilevel"/>
    <w:tmpl w:val="5FD0158C"/>
    <w:lvl w:ilvl="0" w:tplc="7D98CA0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D34DA"/>
    <w:multiLevelType w:val="multilevel"/>
    <w:tmpl w:val="9828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894136"/>
    <w:multiLevelType w:val="hybridMultilevel"/>
    <w:tmpl w:val="1312FC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4499">
    <w:abstractNumId w:val="12"/>
  </w:num>
  <w:num w:numId="2" w16cid:durableId="471556298">
    <w:abstractNumId w:val="3"/>
  </w:num>
  <w:num w:numId="3" w16cid:durableId="613631890">
    <w:abstractNumId w:val="9"/>
  </w:num>
  <w:num w:numId="4" w16cid:durableId="211038985">
    <w:abstractNumId w:val="0"/>
  </w:num>
  <w:num w:numId="5" w16cid:durableId="1538473665">
    <w:abstractNumId w:val="1"/>
  </w:num>
  <w:num w:numId="6" w16cid:durableId="520438229">
    <w:abstractNumId w:val="7"/>
  </w:num>
  <w:num w:numId="7" w16cid:durableId="655651728">
    <w:abstractNumId w:val="6"/>
  </w:num>
  <w:num w:numId="8" w16cid:durableId="230232633">
    <w:abstractNumId w:val="2"/>
  </w:num>
  <w:num w:numId="9" w16cid:durableId="1869566231">
    <w:abstractNumId w:val="5"/>
  </w:num>
  <w:num w:numId="10" w16cid:durableId="994335747">
    <w:abstractNumId w:val="11"/>
  </w:num>
  <w:num w:numId="11" w16cid:durableId="1952852769">
    <w:abstractNumId w:val="4"/>
  </w:num>
  <w:num w:numId="12" w16cid:durableId="1421949304">
    <w:abstractNumId w:val="8"/>
  </w:num>
  <w:num w:numId="13" w16cid:durableId="637343002">
    <w:abstractNumId w:val="13"/>
  </w:num>
  <w:num w:numId="14" w16cid:durableId="85347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readOnly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F"/>
    <w:rsid w:val="000063FF"/>
    <w:rsid w:val="00023A88"/>
    <w:rsid w:val="00030608"/>
    <w:rsid w:val="0003086F"/>
    <w:rsid w:val="00040C37"/>
    <w:rsid w:val="000517B6"/>
    <w:rsid w:val="000546C6"/>
    <w:rsid w:val="00073E25"/>
    <w:rsid w:val="000753AD"/>
    <w:rsid w:val="000805EA"/>
    <w:rsid w:val="00081ADD"/>
    <w:rsid w:val="0008352D"/>
    <w:rsid w:val="00087CA9"/>
    <w:rsid w:val="00091C7F"/>
    <w:rsid w:val="000A488B"/>
    <w:rsid w:val="000A7238"/>
    <w:rsid w:val="000A75E9"/>
    <w:rsid w:val="000B0B21"/>
    <w:rsid w:val="000B25D4"/>
    <w:rsid w:val="000C203D"/>
    <w:rsid w:val="000C2273"/>
    <w:rsid w:val="000C7716"/>
    <w:rsid w:val="000D0460"/>
    <w:rsid w:val="000D346D"/>
    <w:rsid w:val="00111B0D"/>
    <w:rsid w:val="001201BB"/>
    <w:rsid w:val="001357B2"/>
    <w:rsid w:val="00185492"/>
    <w:rsid w:val="001A3BA5"/>
    <w:rsid w:val="001B4F92"/>
    <w:rsid w:val="001C2D67"/>
    <w:rsid w:val="001D099A"/>
    <w:rsid w:val="001E0353"/>
    <w:rsid w:val="001F2857"/>
    <w:rsid w:val="001F4287"/>
    <w:rsid w:val="001F7BC0"/>
    <w:rsid w:val="00202A77"/>
    <w:rsid w:val="00205DBC"/>
    <w:rsid w:val="00206F79"/>
    <w:rsid w:val="002302D9"/>
    <w:rsid w:val="00245DB8"/>
    <w:rsid w:val="00257B77"/>
    <w:rsid w:val="00271CE5"/>
    <w:rsid w:val="00276637"/>
    <w:rsid w:val="00281E9A"/>
    <w:rsid w:val="00282020"/>
    <w:rsid w:val="0028328D"/>
    <w:rsid w:val="00286727"/>
    <w:rsid w:val="002A3E4B"/>
    <w:rsid w:val="002A5510"/>
    <w:rsid w:val="002B2A5B"/>
    <w:rsid w:val="002E4FE0"/>
    <w:rsid w:val="002E56E1"/>
    <w:rsid w:val="003237A9"/>
    <w:rsid w:val="00342BA0"/>
    <w:rsid w:val="00360892"/>
    <w:rsid w:val="00363072"/>
    <w:rsid w:val="003636BF"/>
    <w:rsid w:val="00370AA7"/>
    <w:rsid w:val="0037479F"/>
    <w:rsid w:val="003845B4"/>
    <w:rsid w:val="00387B1A"/>
    <w:rsid w:val="003A1AF9"/>
    <w:rsid w:val="003E1C74"/>
    <w:rsid w:val="003E3FB9"/>
    <w:rsid w:val="00427CBC"/>
    <w:rsid w:val="00476B5D"/>
    <w:rsid w:val="004A7414"/>
    <w:rsid w:val="004B112D"/>
    <w:rsid w:val="004C6C06"/>
    <w:rsid w:val="004E47BB"/>
    <w:rsid w:val="004F4B6A"/>
    <w:rsid w:val="00526246"/>
    <w:rsid w:val="00536137"/>
    <w:rsid w:val="005568B5"/>
    <w:rsid w:val="00566730"/>
    <w:rsid w:val="00567106"/>
    <w:rsid w:val="00570AF4"/>
    <w:rsid w:val="00593460"/>
    <w:rsid w:val="005A77E7"/>
    <w:rsid w:val="005B7FAB"/>
    <w:rsid w:val="005D4DF6"/>
    <w:rsid w:val="005E1D3C"/>
    <w:rsid w:val="00632253"/>
    <w:rsid w:val="0064222E"/>
    <w:rsid w:val="00642714"/>
    <w:rsid w:val="00643C4E"/>
    <w:rsid w:val="006455CE"/>
    <w:rsid w:val="00654E4E"/>
    <w:rsid w:val="00666FE7"/>
    <w:rsid w:val="00667BB9"/>
    <w:rsid w:val="006B2A1E"/>
    <w:rsid w:val="006B7B35"/>
    <w:rsid w:val="006D2FCD"/>
    <w:rsid w:val="006D42D9"/>
    <w:rsid w:val="006E4C91"/>
    <w:rsid w:val="006F19C6"/>
    <w:rsid w:val="00702425"/>
    <w:rsid w:val="00726463"/>
    <w:rsid w:val="00727B07"/>
    <w:rsid w:val="00733017"/>
    <w:rsid w:val="00736707"/>
    <w:rsid w:val="007373C4"/>
    <w:rsid w:val="00746C46"/>
    <w:rsid w:val="00751D38"/>
    <w:rsid w:val="007650D6"/>
    <w:rsid w:val="00772253"/>
    <w:rsid w:val="00776209"/>
    <w:rsid w:val="00783310"/>
    <w:rsid w:val="00792744"/>
    <w:rsid w:val="007A4A6D"/>
    <w:rsid w:val="007D1BCF"/>
    <w:rsid w:val="007D75CF"/>
    <w:rsid w:val="007E6DC5"/>
    <w:rsid w:val="007E7F78"/>
    <w:rsid w:val="007F66E4"/>
    <w:rsid w:val="0088043C"/>
    <w:rsid w:val="00883B7B"/>
    <w:rsid w:val="00887E1E"/>
    <w:rsid w:val="008906C9"/>
    <w:rsid w:val="008B3363"/>
    <w:rsid w:val="008B67F7"/>
    <w:rsid w:val="008C1B22"/>
    <w:rsid w:val="008C5738"/>
    <w:rsid w:val="008D04F0"/>
    <w:rsid w:val="008D5F52"/>
    <w:rsid w:val="008D67AC"/>
    <w:rsid w:val="008E0ECC"/>
    <w:rsid w:val="008E7945"/>
    <w:rsid w:val="008F026E"/>
    <w:rsid w:val="008F3500"/>
    <w:rsid w:val="00904114"/>
    <w:rsid w:val="00924E3C"/>
    <w:rsid w:val="009477FA"/>
    <w:rsid w:val="00951516"/>
    <w:rsid w:val="009541F3"/>
    <w:rsid w:val="009612BB"/>
    <w:rsid w:val="0096770E"/>
    <w:rsid w:val="00982D31"/>
    <w:rsid w:val="00984B61"/>
    <w:rsid w:val="009A2B38"/>
    <w:rsid w:val="009D7857"/>
    <w:rsid w:val="009E6AC6"/>
    <w:rsid w:val="009F143F"/>
    <w:rsid w:val="009F30FB"/>
    <w:rsid w:val="00A000F2"/>
    <w:rsid w:val="00A01D13"/>
    <w:rsid w:val="00A125A1"/>
    <w:rsid w:val="00A125C5"/>
    <w:rsid w:val="00A12D5C"/>
    <w:rsid w:val="00A1564E"/>
    <w:rsid w:val="00A47789"/>
    <w:rsid w:val="00A5039D"/>
    <w:rsid w:val="00A61123"/>
    <w:rsid w:val="00A64D58"/>
    <w:rsid w:val="00A65EE7"/>
    <w:rsid w:val="00A70133"/>
    <w:rsid w:val="00A85D62"/>
    <w:rsid w:val="00AC5C16"/>
    <w:rsid w:val="00B1337D"/>
    <w:rsid w:val="00B17141"/>
    <w:rsid w:val="00B27607"/>
    <w:rsid w:val="00B31575"/>
    <w:rsid w:val="00B42980"/>
    <w:rsid w:val="00B47AF6"/>
    <w:rsid w:val="00B51820"/>
    <w:rsid w:val="00B53904"/>
    <w:rsid w:val="00B72445"/>
    <w:rsid w:val="00B8547D"/>
    <w:rsid w:val="00BB26A5"/>
    <w:rsid w:val="00BE094A"/>
    <w:rsid w:val="00BF0050"/>
    <w:rsid w:val="00C22323"/>
    <w:rsid w:val="00C250D5"/>
    <w:rsid w:val="00C47F8D"/>
    <w:rsid w:val="00C64874"/>
    <w:rsid w:val="00C736ED"/>
    <w:rsid w:val="00C81391"/>
    <w:rsid w:val="00C92898"/>
    <w:rsid w:val="00CA699D"/>
    <w:rsid w:val="00CB0DFC"/>
    <w:rsid w:val="00CC179C"/>
    <w:rsid w:val="00CD53DC"/>
    <w:rsid w:val="00CE72B1"/>
    <w:rsid w:val="00CE7514"/>
    <w:rsid w:val="00CF0525"/>
    <w:rsid w:val="00D02B9C"/>
    <w:rsid w:val="00D12543"/>
    <w:rsid w:val="00D236DE"/>
    <w:rsid w:val="00D248DE"/>
    <w:rsid w:val="00D462AD"/>
    <w:rsid w:val="00D73FCD"/>
    <w:rsid w:val="00D8542D"/>
    <w:rsid w:val="00D857AA"/>
    <w:rsid w:val="00DA2C9A"/>
    <w:rsid w:val="00DC6A71"/>
    <w:rsid w:val="00DD0934"/>
    <w:rsid w:val="00DD4717"/>
    <w:rsid w:val="00DE36C9"/>
    <w:rsid w:val="00DE5B46"/>
    <w:rsid w:val="00E0357D"/>
    <w:rsid w:val="00E15B6A"/>
    <w:rsid w:val="00E24EC2"/>
    <w:rsid w:val="00E57198"/>
    <w:rsid w:val="00E572FE"/>
    <w:rsid w:val="00E853E8"/>
    <w:rsid w:val="00EB6334"/>
    <w:rsid w:val="00EB6A2A"/>
    <w:rsid w:val="00ED7E82"/>
    <w:rsid w:val="00EE3D94"/>
    <w:rsid w:val="00EE6836"/>
    <w:rsid w:val="00F044D8"/>
    <w:rsid w:val="00F05864"/>
    <w:rsid w:val="00F079C5"/>
    <w:rsid w:val="00F11C41"/>
    <w:rsid w:val="00F240BB"/>
    <w:rsid w:val="00F46724"/>
    <w:rsid w:val="00F50678"/>
    <w:rsid w:val="00F57FED"/>
    <w:rsid w:val="00F62F36"/>
    <w:rsid w:val="00F75F95"/>
    <w:rsid w:val="00F825FF"/>
    <w:rsid w:val="00F900BC"/>
    <w:rsid w:val="00F907E8"/>
    <w:rsid w:val="00FC319C"/>
    <w:rsid w:val="00FD2BEC"/>
    <w:rsid w:val="00FF57D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0F4AAC2"/>
  <w15:chartTrackingRefBased/>
  <w15:docId w15:val="{12D7C6C1-5ECB-42D5-AAA2-7F106A3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B67F7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5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54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link w:val="podpisiZnak"/>
    <w:qFormat/>
    <w:rsid w:val="003E1C74"/>
    <w:pPr>
      <w:tabs>
        <w:tab w:val="left" w:pos="3402"/>
      </w:tabs>
    </w:pPr>
    <w:rPr>
      <w:lang w:val="it-IT"/>
    </w:rPr>
  </w:style>
  <w:style w:type="paragraph" w:customStyle="1" w:styleId="FURSnaslov1">
    <w:name w:val="FURS_naslov_1"/>
    <w:basedOn w:val="podpisi"/>
    <w:link w:val="FURSnaslov1Znak"/>
    <w:qFormat/>
    <w:rsid w:val="00CA699D"/>
    <w:rPr>
      <w:b/>
      <w:sz w:val="24"/>
      <w:lang w:val="sl-S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A2C9A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character" w:customStyle="1" w:styleId="podpisiZnak">
    <w:name w:val="podpisi Znak"/>
    <w:link w:val="podpisi"/>
    <w:rsid w:val="00CA699D"/>
    <w:rPr>
      <w:rFonts w:ascii="Arial" w:hAnsi="Arial"/>
      <w:szCs w:val="24"/>
      <w:lang w:val="it-IT" w:eastAsia="en-US"/>
    </w:rPr>
  </w:style>
  <w:style w:type="character" w:customStyle="1" w:styleId="FURSnaslov1Znak">
    <w:name w:val="FURS_naslov_1 Znak"/>
    <w:link w:val="FURSnaslov1"/>
    <w:rsid w:val="00CA699D"/>
    <w:rPr>
      <w:rFonts w:ascii="Arial" w:hAnsi="Arial"/>
      <w:b/>
      <w:sz w:val="24"/>
      <w:szCs w:val="24"/>
      <w:lang w:val="it-IT" w:eastAsia="en-US"/>
    </w:rPr>
  </w:style>
  <w:style w:type="paragraph" w:styleId="Kazalovsebine1">
    <w:name w:val="toc 1"/>
    <w:basedOn w:val="Navaden"/>
    <w:next w:val="Navaden"/>
    <w:autoRedefine/>
    <w:uiPriority w:val="39"/>
    <w:qFormat/>
    <w:rsid w:val="009541F3"/>
    <w:pPr>
      <w:tabs>
        <w:tab w:val="right" w:leader="dot" w:pos="8488"/>
      </w:tabs>
      <w:ind w:left="284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F079C5"/>
    <w:pPr>
      <w:tabs>
        <w:tab w:val="right" w:leader="dot" w:pos="8488"/>
      </w:tabs>
      <w:spacing w:line="276" w:lineRule="auto"/>
      <w:ind w:left="567"/>
    </w:pPr>
    <w:rPr>
      <w:rFonts w:ascii="Calibri" w:hAnsi="Calibr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DA2C9A"/>
    <w:pPr>
      <w:spacing w:after="100" w:line="276" w:lineRule="auto"/>
      <w:ind w:left="440"/>
    </w:pPr>
    <w:rPr>
      <w:rFonts w:ascii="Calibri" w:hAnsi="Calibri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rsid w:val="00DA2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A2C9A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link w:val="Naslov2"/>
    <w:semiHidden/>
    <w:rsid w:val="009541F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9541F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ogaZnak">
    <w:name w:val="Noga Znak"/>
    <w:link w:val="Noga"/>
    <w:uiPriority w:val="99"/>
    <w:rsid w:val="009F30FB"/>
    <w:rPr>
      <w:rFonts w:ascii="Arial" w:hAnsi="Arial"/>
      <w:szCs w:val="24"/>
      <w:lang w:val="en-US" w:eastAsia="en-US"/>
    </w:rPr>
  </w:style>
  <w:style w:type="paragraph" w:customStyle="1" w:styleId="FURSnaslov2">
    <w:name w:val="FURS_naslov_2"/>
    <w:basedOn w:val="podpisi"/>
    <w:link w:val="FURSnaslov2Znak"/>
    <w:qFormat/>
    <w:rsid w:val="00F079C5"/>
    <w:rPr>
      <w:b/>
      <w:sz w:val="24"/>
      <w:lang w:val="sl-SI"/>
    </w:rPr>
  </w:style>
  <w:style w:type="paragraph" w:styleId="Navadensplet">
    <w:name w:val="Normal (Web)"/>
    <w:basedOn w:val="Navaden"/>
    <w:uiPriority w:val="99"/>
    <w:unhideWhenUsed/>
    <w:rsid w:val="00570AF4"/>
    <w:pPr>
      <w:spacing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FURSnaslov2Znak">
    <w:name w:val="FURS_naslov_2 Znak"/>
    <w:link w:val="FURSnaslov2"/>
    <w:rsid w:val="00F079C5"/>
    <w:rPr>
      <w:rFonts w:ascii="Arial" w:hAnsi="Arial"/>
      <w:b/>
      <w:sz w:val="24"/>
      <w:szCs w:val="24"/>
      <w:lang w:val="it-IT" w:eastAsia="en-US"/>
    </w:rPr>
  </w:style>
  <w:style w:type="character" w:styleId="SledenaHiperpovezava">
    <w:name w:val="FollowedHyperlink"/>
    <w:rsid w:val="00D236DE"/>
    <w:rPr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46C4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073E2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stoms.ec.europa.eu/tpui-cdms-web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SL/TXT/?uri=CELEX:32009R1186" TargetMode="External"/><Relationship Id="rId17" Type="http://schemas.openxmlformats.org/officeDocument/2006/relationships/hyperlink" Target="https://customs.ec.europa.eu/tpui-cdms-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ustoms.ec.europa.eu/tpui-cdms-web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srs.si/Pis.web/pregledPredpisa?id=PRAV1429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c.europa.eu/taxation_customs/vie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c.europa.eu/taxation_customs/dds2/eos/eori_validation.jsp?Lang=s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B973E05FF924392C75F7125FABE1C" ma:contentTypeVersion="" ma:contentTypeDescription="Ustvari nov dokument." ma:contentTypeScope="" ma:versionID="92b7d763a64e8ac426439fe6226ccf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ab43e4b4d4522ee103401782b6f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54222-8F72-4DFD-8357-99C0C0BA0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A3AEE-85A3-4936-8E9D-653CDEAD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C6632C-A787-4599-808F-8F83FE45C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33610A-A95D-4F76-84DF-AF6F3C625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Finančna Uprava RS</Company>
  <LinksUpToDate>false</LinksUpToDate>
  <CharactersWithSpaces>9230</CharactersWithSpaces>
  <SharedDoc>false</SharedDoc>
  <HLinks>
    <vt:vector size="60" baseType="variant">
      <vt:variant>
        <vt:i4>6684743</vt:i4>
      </vt:variant>
      <vt:variant>
        <vt:i4>48</vt:i4>
      </vt:variant>
      <vt:variant>
        <vt:i4>0</vt:i4>
      </vt:variant>
      <vt:variant>
        <vt:i4>5</vt:i4>
      </vt:variant>
      <vt:variant>
        <vt:lpwstr>http://ec.europa.eu/taxation_customs/vies/</vt:lpwstr>
      </vt:variant>
      <vt:variant>
        <vt:lpwstr/>
      </vt:variant>
      <vt:variant>
        <vt:i4>5636126</vt:i4>
      </vt:variant>
      <vt:variant>
        <vt:i4>45</vt:i4>
      </vt:variant>
      <vt:variant>
        <vt:i4>0</vt:i4>
      </vt:variant>
      <vt:variant>
        <vt:i4>5</vt:i4>
      </vt:variant>
      <vt:variant>
        <vt:lpwstr>http://ec.europa.eu/taxation_customs/dds2/eos/eori_validation.jsp?Lang=sl</vt:lpwstr>
      </vt:variant>
      <vt:variant>
        <vt:lpwstr/>
      </vt:variant>
      <vt:variant>
        <vt:i4>786500</vt:i4>
      </vt:variant>
      <vt:variant>
        <vt:i4>42</vt:i4>
      </vt:variant>
      <vt:variant>
        <vt:i4>0</vt:i4>
      </vt:variant>
      <vt:variant>
        <vt:i4>5</vt:i4>
      </vt:variant>
      <vt:variant>
        <vt:lpwstr>http://eur-lex.europa.eu/search.html?DTN=1186&amp;DTA=2009&amp;qid=1420458961286&amp;DB_TYPE_OF_ACT=allRegulation&amp;DTS_DOM=EU_LAW&amp;typeOfActStatus=ALL_REGULATION&amp;type=advanced&amp;lang=sl&amp;SUBDOM_INIT=LEGISLATION&amp;DTS_SUBDOM=LEGISLATION</vt:lpwstr>
      </vt:variant>
      <vt:variant>
        <vt:lpwstr/>
      </vt:variant>
      <vt:variant>
        <vt:i4>1835076</vt:i4>
      </vt:variant>
      <vt:variant>
        <vt:i4>39</vt:i4>
      </vt:variant>
      <vt:variant>
        <vt:i4>0</vt:i4>
      </vt:variant>
      <vt:variant>
        <vt:i4>5</vt:i4>
      </vt:variant>
      <vt:variant>
        <vt:lpwstr>http://www.pisrs.si/Pis.web/pregledPredpisa?id=PRAV14299</vt:lpwstr>
      </vt:variant>
      <vt:variant>
        <vt:lpwstr/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_Toc408409220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_Toc408409219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_Toc408409218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_Toc408409217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_Toc408409216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_Toc408409215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DURS</dc:creator>
  <cp:keywords/>
  <cp:lastModifiedBy>Gorazd Kotnik</cp:lastModifiedBy>
  <cp:revision>2</cp:revision>
  <cp:lastPrinted>2015-01-08T07:48:00Z</cp:lastPrinted>
  <dcterms:created xsi:type="dcterms:W3CDTF">2025-05-22T06:07:00Z</dcterms:created>
  <dcterms:modified xsi:type="dcterms:W3CDTF">2025-05-22T06:07:00Z</dcterms:modified>
</cp:coreProperties>
</file>